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sz w:val="56"/>
        </w:rPr>
        <w:t>NUCC Specialty Code Data Discrepancy Management</w:t>
      </w:r>
    </w:p>
    <w:p>
      <w:pPr>
        <w:jc w:val="center"/>
      </w:pPr>
      <w:r>
        <w:rPr>
          <w:rFonts w:ascii="Calibri" w:hAnsi="Calibri"/>
          <w:i/>
          <w:sz w:val="40"/>
        </w:rPr>
        <w:t>Provider Pipeline — v1</w:t>
      </w:r>
    </w:p>
    <w:p/>
    <w:p/>
    <w:p/>
    <w:p/>
    <w:p/>
    <w:p/>
    <w:p>
      <w:pPr>
        <w:jc w:val="center"/>
      </w:pPr>
      <w:r>
        <w:rPr>
          <w:rFonts w:ascii="Calibri" w:hAnsi="Calibri"/>
          <w:b/>
          <w:sz w:val="28"/>
        </w:rPr>
        <w:t>ChatHealthy.ai</w:t>
      </w:r>
    </w:p>
    <w:p>
      <w:pPr>
        <w:jc w:val="center"/>
      </w:pPr>
      <w:r>
        <w:rPr>
          <w:rFonts w:ascii="Calibri" w:hAnsi="Calibri"/>
          <w:sz w:val="24"/>
        </w:rPr>
        <w:t>2026-08-01</w:t>
      </w:r>
    </w:p>
    <w:p/>
    <w:p/>
    <w:p>
      <w:pPr>
        <w:jc w:val="center"/>
      </w:pPr>
      <w:r>
        <w:rPr>
          <w:rFonts w:ascii="Calibri" w:hAnsi="Calibri"/>
          <w:i/>
          <w:sz w:val="22"/>
        </w:rPr>
        <w:t>Governance and architecture reference for the Provider Pipeline reference-registry drift repair pattern, grounded in HL7 FHIR R5 terminology conventions.</w:t>
      </w:r>
    </w:p>
    <w:p>
      <w:r>
        <w:br w:type="page"/>
      </w:r>
    </w:p>
    <w:p>
      <w:pPr>
        <w:pStyle w:val="Heading1"/>
      </w:pPr>
      <w:r>
        <w:rPr>
          <w:rFonts w:ascii="Calibri" w:hAnsi="Calibri"/>
        </w:rPr>
        <w:t>1. Executive Summary</w:t>
      </w:r>
    </w:p>
    <w:p>
      <w:pPr>
        <w:spacing w:after="120"/>
      </w:pPr>
      <w:r>
        <w:rPr>
          <w:rFonts w:ascii="Calibri" w:hAnsi="Calibri"/>
          <w:b w:val="0"/>
          <w:i w:val="0"/>
          <w:sz w:val="22"/>
        </w:rPr>
        <w:t>The ChatHealthy.ai provider pipeline consumes two upstream authorities that are operationally coupled but not perfectly synchronized. The Health Care Provider Taxonomy Code Set is published by the National Uniform Claim Committee (NUCC) as the standards-body reference registry: it defines what taxonomy codes exist, what they mean, and how they are grouped. The National Plan and Provider Enumeration System (NPPES), operated by the Centers for Medicare &amp; Medicaid Services (CMS), is the regulator-published records registry: it holds the ~9.25 million active provider records that carry taxonomy code assertions. In principle every taxonomy code appearing on an NPPES record resolves against the current NUCC taxonomy. In practice the two registries drift. NPPES accepts and retains taxonomy codes that NUCC has since retired, replaced, or never officially published, and CMS does not retroactively re-code provider records when NUCC evolves.</w:t>
      </w:r>
    </w:p>
    <w:p>
      <w:pPr>
        <w:spacing w:after="120"/>
      </w:pPr>
      <w:r>
        <w:rPr>
          <w:rFonts w:ascii="Calibri" w:hAnsi="Calibri"/>
          <w:b w:val="0"/>
          <w:i w:val="0"/>
          <w:sz w:val="22"/>
        </w:rPr>
        <w:t>This drift is not a defect that can be closed by “fixing NPPES” or “waiting for NUCC.” It is an unavoidable operating condition for any system that consumes both registries. The Provider Pipeline must therefore be engineered to survive drift deterministically, without silent substitution, without runtime failure on record-level anomalies, and without loss of provenance about which authority made which claim.</w:t>
      </w:r>
    </w:p>
    <w:p>
      <w:pPr>
        <w:spacing w:after="120"/>
      </w:pPr>
      <w:r>
        <w:rPr>
          <w:rFonts w:ascii="Calibri" w:hAnsi="Calibri"/>
          <w:b w:val="0"/>
          <w:i w:val="0"/>
          <w:sz w:val="22"/>
        </w:rPr>
        <w:t>This document establishes the Reference Registry Drift Repair Pattern that the pipeline implements. The pattern rests on three canonical authorities held in an explicit three-way model: NPPES for what code was reported, NUCC for what codes are currently standard, and a proprietary catalog (“F-105”) for ChatHealthy.ai-specific flags, approved repairs, and approved cross-code mappings. The pattern is not novel invention; it directly implements six specific patterns from HL7 FHIR R5 terminology and provenance conventions: CodeableConcept with multiple codings, CodeSystem supplements, ConceptMap for canonical mapping, Extensions for implementation-specific metadata, Provenance for terminology repair, and version-aware terminology. Each design decision made in the pattern is cited against the FHIR R5 specification language that authorizes it.</w:t>
      </w:r>
    </w:p>
    <w:p>
      <w:pPr>
        <w:spacing w:after="120"/>
      </w:pPr>
      <w:r>
        <w:rPr>
          <w:rFonts w:ascii="Calibri" w:hAnsi="Calibri"/>
          <w:b w:val="0"/>
          <w:i w:val="0"/>
          <w:sz w:val="22"/>
        </w:rPr>
        <w:t>The immediate operational trigger for formalizing this pattern was a nationwide pipeline run that failed at the flags enrichment step because it encountered NPPES-reported taxonomy code 246ZS0400X on active provider records (William Waller, CCP, NPI 1417801002 among them) and that code is absent from NUCC v261. The closest current NUCC code is 246ZS0410X (Surgical Technologist), one digit different. Under the pattern described here that anomaly is a record-level event captured with full provenance and does not kill the run.</w:t>
      </w:r>
    </w:p>
    <w:p>
      <w:pPr>
        <w:spacing w:after="120"/>
      </w:pPr>
      <w:r>
        <w:rPr>
          <w:rFonts w:ascii="Calibri" w:hAnsi="Calibri"/>
          <w:b/>
          <w:i w:val="0"/>
          <w:sz w:val="22"/>
        </w:rPr>
        <w:t>Key claims of this document:</w:t>
      </w:r>
    </w:p>
    <w:p>
      <w:pPr>
        <w:pStyle w:val="ListBullet"/>
        <w:spacing w:after="60"/>
        <w:ind w:left="360"/>
      </w:pPr>
      <w:r/>
      <w:r>
        <w:rPr>
          <w:rFonts w:ascii="Calibri" w:hAnsi="Calibri"/>
          <w:sz w:val="22"/>
        </w:rPr>
        <w:t>Drift between NPPES and NUCC is an unavoidable operational condition.</w:t>
      </w:r>
    </w:p>
    <w:p>
      <w:pPr>
        <w:pStyle w:val="ListBullet"/>
        <w:spacing w:after="60"/>
        <w:ind w:left="360"/>
      </w:pPr>
      <w:r/>
      <w:r>
        <w:rPr>
          <w:rFonts w:ascii="Calibri" w:hAnsi="Calibri"/>
          <w:sz w:val="22"/>
        </w:rPr>
        <w:t>A three-way authority model (NPPES / NUCC / proprietary catalog) is required to preserve source-of-truth semantics under drift.</w:t>
      </w:r>
    </w:p>
    <w:p>
      <w:pPr>
        <w:pStyle w:val="ListBullet"/>
        <w:spacing w:after="60"/>
        <w:ind w:left="360"/>
      </w:pPr>
      <w:r/>
      <w:r>
        <w:rPr>
          <w:rFonts w:ascii="Calibri" w:hAnsi="Calibri"/>
          <w:sz w:val="22"/>
        </w:rPr>
        <w:t>The pattern implements HL7 FHIR R5 terminology conventions directly; those conventions are the authority slip for every design choice.</w:t>
      </w:r>
    </w:p>
    <w:p>
      <w:pPr>
        <w:pStyle w:val="ListBullet"/>
        <w:spacing w:after="60"/>
        <w:ind w:left="360"/>
      </w:pPr>
      <w:r/>
      <w:r>
        <w:rPr>
          <w:rFonts w:ascii="Calibri" w:hAnsi="Calibri"/>
          <w:sz w:val="22"/>
        </w:rPr>
        <w:t>Silent substitution is forbidden. Reported codes are always preserved on the record; approved mappings surface as additional coded elements with an explicit relationship code.</w:t>
      </w:r>
    </w:p>
    <w:p>
      <w:pPr>
        <w:pStyle w:val="ListBullet"/>
        <w:spacing w:after="60"/>
        <w:ind w:left="360"/>
      </w:pPr>
      <w:r/>
      <w:r>
        <w:rPr>
          <w:rFonts w:ascii="Calibri" w:hAnsi="Calibri"/>
          <w:sz w:val="22"/>
        </w:rPr>
        <w:t>Record-level taxonomy anomalies MUST be captured and reported, and MUST NOT cause artifact-level pipeline failure.</w:t>
      </w:r>
    </w:p>
    <w:p>
      <w:r>
        <w:br w:type="page"/>
      </w:r>
    </w:p>
    <w:p>
      <w:pPr>
        <w:pStyle w:val="Heading1"/>
      </w:pPr>
      <w:r>
        <w:rPr>
          <w:rFonts w:ascii="Calibri" w:hAnsi="Calibri"/>
        </w:rPr>
        <w:t>2. Problem Statement — Registry Drift as an Unavoidable Operational Condition</w:t>
      </w:r>
    </w:p>
    <w:p>
      <w:pPr>
        <w:spacing w:after="120"/>
      </w:pPr>
      <w:r>
        <w:rPr>
          <w:rFonts w:ascii="Calibri" w:hAnsi="Calibri"/>
          <w:b w:val="0"/>
          <w:i w:val="0"/>
          <w:sz w:val="22"/>
        </w:rPr>
        <w:t>Every implementation that consumes both a standards-body reference registry and a regulator-published records registry inherits the drift between them. In the U.S. healthcare provider domain that drift has four regular sources.</w:t>
      </w:r>
    </w:p>
    <w:p>
      <w:pPr>
        <w:pStyle w:val="Heading2"/>
      </w:pPr>
      <w:r>
        <w:rPr>
          <w:rFonts w:ascii="Calibri" w:hAnsi="Calibri"/>
        </w:rPr>
        <w:t>2.1 Codes NUCC retires but NPPES retains</w:t>
      </w:r>
    </w:p>
    <w:p>
      <w:pPr>
        <w:spacing w:after="120"/>
      </w:pPr>
      <w:r>
        <w:rPr>
          <w:rFonts w:ascii="Calibri" w:hAnsi="Calibri"/>
          <w:b w:val="0"/>
          <w:i w:val="0"/>
          <w:sz w:val="22"/>
        </w:rPr>
        <w:t>The NUCC Health Care Provider Taxonomy Code Set is revised twice yearly. Codes may be deleted, replaced, or split when the underlying professional category is restructured. NPPES does not automatically retroactively re-code any provider record when NUCC evolves. A code that a provider self-attested to in 2015 that was subsequently deleted by NUCC in 2018 will still appear verbatim on that provider's NPPES record in 2026 unless the provider or their delegate proactively updates the record. In production surveys we routinely find NPPES-active providers carrying taxonomy codes that no current NUCC version publishes.</w:t>
      </w:r>
    </w:p>
    <w:p>
      <w:pPr>
        <w:pStyle w:val="Heading2"/>
      </w:pPr>
      <w:r>
        <w:rPr>
          <w:rFonts w:ascii="Calibri" w:hAnsi="Calibri"/>
        </w:rPr>
        <w:t>2.2 Codes accepted by NPPES that NUCC never published</w:t>
      </w:r>
    </w:p>
    <w:p>
      <w:pPr>
        <w:spacing w:after="120"/>
      </w:pPr>
      <w:r>
        <w:rPr>
          <w:rFonts w:ascii="Calibri" w:hAnsi="Calibri"/>
          <w:b w:val="0"/>
          <w:i w:val="0"/>
          <w:sz w:val="22"/>
        </w:rPr>
        <w:t>NPPES validation historically accepted taxonomy codes without strict cross-check against the current NUCC edition. This creates a small population of records carrying taxonomy codes that NUCC has no record of at any version — not “retired,” simply never issued. These are typically transcription errors, private extensions, or codes from prior candidate schemes that survived into production. From a downstream consumer's perspective they are indistinguishable from retired codes at the point of ingest.</w:t>
      </w:r>
    </w:p>
    <w:p>
      <w:pPr>
        <w:pStyle w:val="Heading2"/>
      </w:pPr>
      <w:r>
        <w:rPr>
          <w:rFonts w:ascii="Calibri" w:hAnsi="Calibri"/>
        </w:rPr>
        <w:t>2.3 Publication cadence mismatch</w:t>
      </w:r>
    </w:p>
    <w:p>
      <w:pPr>
        <w:spacing w:after="120"/>
      </w:pPr>
      <w:r>
        <w:rPr>
          <w:rFonts w:ascii="Calibri" w:hAnsi="Calibri"/>
          <w:b w:val="0"/>
          <w:i w:val="0"/>
          <w:sz w:val="22"/>
        </w:rPr>
        <w:t>NUCC publishes on a fixed semi-annual cadence with versioned identifiers (v260, v261, v262, and so on). NPPES publishes a full monthly file and weekly incrementals. When NUCC publishes a new version, providers do not update their NPPES records synchronously; there is no coordinated re-registration event. For approximately one publication cycle after every NUCC release, some proportion of newly-retired NUCC codes will still be observed on current NPPES records.</w:t>
      </w:r>
    </w:p>
    <w:p>
      <w:pPr>
        <w:pStyle w:val="Heading2"/>
      </w:pPr>
      <w:r>
        <w:rPr>
          <w:rFonts w:ascii="Calibri" w:hAnsi="Calibri"/>
        </w:rPr>
        <w:t>2.4 Governance boundaries</w:t>
      </w:r>
    </w:p>
    <w:p>
      <w:pPr>
        <w:spacing w:after="120"/>
      </w:pPr>
      <w:r>
        <w:rPr>
          <w:rFonts w:ascii="Calibri" w:hAnsi="Calibri"/>
          <w:b w:val="0"/>
          <w:i w:val="0"/>
          <w:sz w:val="22"/>
        </w:rPr>
        <w:t>NUCC governs the taxonomy but does not maintain provider records. CMS governs the records but does not maintain the taxonomy. Neither authority owns the “reconciled” view. Any downstream system that wants a reconciled view must build one, and must own the semantics of that reconciliation without asking either upstream authority to change.</w:t>
      </w:r>
    </w:p>
    <w:p>
      <w:pPr>
        <w:pStyle w:val="Heading2"/>
      </w:pPr>
      <w:r>
        <w:rPr>
          <w:rFonts w:ascii="Calibri" w:hAnsi="Calibri"/>
        </w:rPr>
        <w:t>2.5 Operational consequence</w:t>
      </w:r>
    </w:p>
    <w:p>
      <w:pPr>
        <w:spacing w:after="120"/>
      </w:pPr>
      <w:r>
        <w:rPr>
          <w:rFonts w:ascii="Calibri" w:hAnsi="Calibri"/>
          <w:b w:val="0"/>
          <w:i w:val="0"/>
          <w:sz w:val="22"/>
        </w:rPr>
        <w:t>Downstream consumers require code metadata to render or filter provider records — a human-readable display label, groupings and specializations, a NUCC definition, and ChatHealthy-specific flags such as can_prescribe and homeopathic. When a code is absent from NUCC there is no upstream source for the standard metadata, and any code-derived flag can only come from ChatHealthy's own catalog. The pipeline's flags enrichment step must have a defined behavior for every possible drift outcome.</w:t>
      </w:r>
    </w:p>
    <w:p>
      <w:pPr>
        <w:pStyle w:val="Heading2"/>
      </w:pPr>
      <w:r>
        <w:rPr>
          <w:rFonts w:ascii="Calibri" w:hAnsi="Calibri"/>
        </w:rPr>
        <w:t>2.6 The failure mode that motivated this document</w:t>
      </w:r>
    </w:p>
    <w:p>
      <w:pPr>
        <w:spacing w:after="120"/>
      </w:pPr>
      <w:r>
        <w:rPr>
          <w:rFonts w:ascii="Calibri" w:hAnsi="Calibri"/>
          <w:b w:val="0"/>
          <w:i w:val="0"/>
          <w:sz w:val="22"/>
        </w:rPr>
        <w:t>On 2026-07-31 a nationwide provider pipeline run terminated at the flags enrichment step. The proximate cause was an unhandled lookup on taxonomy code 246ZS0400X (“Specialist/Technologist, Other, Surgical”), present on active NPPES records including William Waller, CCP, NPI 1417801002, and absent from NUCC v261. The nearest current NUCC code is 246ZS0410X (Surgical Technologist). Fail-hard on unknown code is a defensible policy for structural anomalies but is the wrong policy for record-level terminology anomalies, which are a certainty at scale. The pattern documented here formalizes the correct policy: record-level anomaly is captured with provenance, artifact-level failure occurs only when the pipeline can produce no reliable enrichment at all.</w:t>
      </w:r>
    </w:p>
    <w:p>
      <w:r>
        <w:br w:type="page"/>
      </w:r>
    </w:p>
    <w:p>
      <w:pPr>
        <w:pStyle w:val="Heading1"/>
      </w:pPr>
      <w:r>
        <w:rPr>
          <w:rFonts w:ascii="Calibri" w:hAnsi="Calibri"/>
        </w:rPr>
        <w:t>3. Three-Way Authority Model</w:t>
      </w:r>
    </w:p>
    <w:p>
      <w:pPr>
        <w:spacing w:after="120"/>
      </w:pPr>
      <w:r>
        <w:rPr>
          <w:rFonts w:ascii="Calibri" w:hAnsi="Calibri"/>
          <w:b w:val="0"/>
          <w:i w:val="0"/>
          <w:sz w:val="22"/>
        </w:rPr>
        <w:t>The pattern rests on an explicit three-way partition of authority. Each authority owns exactly one class of assertion. The pipeline MUST NOT silently convert one authority's assertion into another. Every downstream artifact preserves which authority is responsible for which piece of the enriched record.</w:t>
      </w:r>
    </w:p>
    <w:p>
      <w:pPr>
        <w:pStyle w:val="Heading2"/>
      </w:pPr>
      <w:r>
        <w:rPr>
          <w:rFonts w:ascii="Calibri" w:hAnsi="Calibri"/>
        </w:rPr>
        <w:t>3.1 NPPES — authoritative for what code appears on the provider record</w:t>
      </w:r>
    </w:p>
    <w:p>
      <w:pPr>
        <w:spacing w:after="120"/>
      </w:pPr>
      <w:r>
        <w:rPr>
          <w:rFonts w:ascii="Calibri" w:hAnsi="Calibri"/>
          <w:b w:val="0"/>
          <w:i w:val="0"/>
          <w:sz w:val="22"/>
        </w:rPr>
        <w:t>NPPES is the source of record for provider identity and for the taxonomy codes asserted about that provider. When NPPES says provider NPI 1417801002 has primary taxonomy 246ZS0400X, that assertion is treated as authoritative for the fact of the code appearing on the record. Whether the code is currently standard, currently valid, or currently mappable is not NPPES's authority to answer. NPPES answers “which codes are asserted about this provider” and nothing further.</w:t>
      </w:r>
    </w:p>
    <w:p>
      <w:pPr>
        <w:spacing w:after="120"/>
      </w:pPr>
      <w:r>
        <w:rPr>
          <w:rFonts w:ascii="Calibri" w:hAnsi="Calibri"/>
          <w:b w:val="0"/>
          <w:i w:val="0"/>
          <w:sz w:val="22"/>
        </w:rPr>
        <w:t>Concretely, taxonomy codes that appear in the ingested NPPES row MUST be preserved verbatim on the pipeline's provider record, in a taxonomies[] element whose role is “reported.” They MUST NOT be silently rewritten, silently substituted, or dropped. If the pipeline concludes that the reported code is retired, unmapped, or invalid, that conclusion is recorded as provenance on the reported element and (if a repair is approved) as an additional element with a different role.</w:t>
      </w:r>
    </w:p>
    <w:p>
      <w:pPr>
        <w:pStyle w:val="Heading2"/>
      </w:pPr>
      <w:r>
        <w:rPr>
          <w:rFonts w:ascii="Calibri" w:hAnsi="Calibri"/>
        </w:rPr>
        <w:t>3.2 NUCC — authoritative for current standard taxonomy definitions</w:t>
      </w:r>
    </w:p>
    <w:p>
      <w:pPr>
        <w:spacing w:after="120"/>
      </w:pPr>
      <w:r>
        <w:rPr>
          <w:rFonts w:ascii="Calibri" w:hAnsi="Calibri"/>
          <w:b w:val="0"/>
          <w:i w:val="0"/>
          <w:sz w:val="22"/>
        </w:rPr>
        <w:t>NUCC is the source of record for what taxonomy codes are currently defined by the standard, what their canonical display names are, and how they are grouped and specialized. NUCC answers “is this code currently in the standard, and if so what does it mean today.” NUCC does not answer “what did this code mean five years ago,” and it does not answer “what should we call this code if it isn't in the standard at all.”</w:t>
      </w:r>
    </w:p>
    <w:p>
      <w:pPr>
        <w:spacing w:after="120"/>
      </w:pPr>
      <w:r>
        <w:rPr>
          <w:rFonts w:ascii="Calibri" w:hAnsi="Calibri"/>
          <w:b w:val="0"/>
          <w:i w:val="0"/>
          <w:sz w:val="22"/>
        </w:rPr>
        <w:t>The pipeline resolves a reported code against the current NUCC version at enrichment time. If the code is present in current NUCC, the NUCC display name, grouping, classification, specialization, definition, and section are the authoritative labels attached to that code. The NUCC version identifier is recorded alongside the resolution so the resolution can be reproduced.</w:t>
      </w:r>
    </w:p>
    <w:p>
      <w:pPr>
        <w:pStyle w:val="Heading2"/>
      </w:pPr>
      <w:r>
        <w:rPr>
          <w:rFonts w:ascii="Calibri" w:hAnsi="Calibri"/>
        </w:rPr>
        <w:t>3.3 Proprietary F-105 catalog — authoritative for product-specific flags, approved repairs, approved mappings</w:t>
      </w:r>
    </w:p>
    <w:p>
      <w:pPr>
        <w:spacing w:after="120"/>
      </w:pPr>
      <w:r>
        <w:rPr>
          <w:rFonts w:ascii="Calibri" w:hAnsi="Calibri"/>
          <w:b w:val="0"/>
          <w:i w:val="0"/>
          <w:sz w:val="22"/>
        </w:rPr>
        <w:t>The proprietary F-105 catalog (Website/Data/specialty_classification_gpt41.json) is ChatHealthy.ai's authored source of truth for three classes of assertion that no upstream authority publishes:</w:t>
      </w:r>
    </w:p>
    <w:p>
      <w:pPr>
        <w:pStyle w:val="ListBullet"/>
        <w:spacing w:after="60"/>
        <w:ind w:left="360"/>
      </w:pPr>
      <w:r/>
      <w:r>
        <w:rPr>
          <w:rFonts w:ascii="Calibri" w:hAnsi="Calibri"/>
          <w:sz w:val="22"/>
        </w:rPr>
        <w:t>Product-specific flags per taxonomy code (today: can_prescribe, homeopathic; extensible as product needs evolve).</w:t>
      </w:r>
    </w:p>
    <w:p>
      <w:pPr>
        <w:pStyle w:val="ListBullet"/>
        <w:spacing w:after="60"/>
        <w:ind w:left="360"/>
      </w:pPr>
      <w:r/>
      <w:r>
        <w:rPr>
          <w:rFonts w:ascii="Calibri" w:hAnsi="Calibri"/>
          <w:sz w:val="22"/>
        </w:rPr>
        <w:t>Approved repair metadata for taxonomy codes observed in NPPES but absent from current NUCC (including a curated display label, a curated grouping, and a curation note explaining what the code appears to mean).</w:t>
      </w:r>
    </w:p>
    <w:p>
      <w:pPr>
        <w:pStyle w:val="ListBullet"/>
        <w:spacing w:after="60"/>
        <w:ind w:left="360"/>
      </w:pPr>
      <w:r/>
      <w:r>
        <w:rPr>
          <w:rFonts w:ascii="Calibri" w:hAnsi="Calibri"/>
          <w:sz w:val="22"/>
        </w:rPr>
        <w:t>Approved cross-code mapping assertions, expressing that ChatHealthy has judged a specific reported code to be equivalent, closely related, or narrower/broader than a current NUCC code, so that downstream consumers can search, filter, or display the record using the current code without losing the reported code.</w:t>
      </w:r>
    </w:p>
    <w:p>
      <w:pPr>
        <w:spacing w:after="120"/>
      </w:pPr>
      <w:r>
        <w:rPr>
          <w:rFonts w:ascii="Calibri" w:hAnsi="Calibri"/>
          <w:b w:val="0"/>
          <w:i w:val="0"/>
          <w:sz w:val="22"/>
        </w:rPr>
        <w:t>The F-105 catalog is versioned in its own right. Every enrichment run records the F-105 catalog version alongside the NUCC version so the joint decision (“this code is at this NUCC version and this F-105 version”) is reproducible.</w:t>
      </w:r>
    </w:p>
    <w:p>
      <w:pPr>
        <w:pStyle w:val="Heading2"/>
      </w:pPr>
      <w:r>
        <w:rPr>
          <w:rFonts w:ascii="Calibri" w:hAnsi="Calibri"/>
        </w:rPr>
        <w:t>3.4 The non-conversion rule</w:t>
      </w:r>
    </w:p>
    <w:p>
      <w:pPr>
        <w:spacing w:after="120"/>
      </w:pPr>
      <w:r>
        <w:rPr>
          <w:rFonts w:ascii="Calibri" w:hAnsi="Calibri"/>
          <w:b w:val="0"/>
          <w:i w:val="0"/>
          <w:sz w:val="22"/>
        </w:rPr>
        <w:t>The three-way model enforces one non-conversion rule that is the single most important governance property of the pattern: the system MUST NOT silently convert one authority's assertion into another. Every assertion on the enriched record carries an explicit authority tag. Applied concretely:</w:t>
      </w:r>
    </w:p>
    <w:p>
      <w:pPr>
        <w:pStyle w:val="ListBullet"/>
        <w:spacing w:after="60"/>
        <w:ind w:left="360"/>
      </w:pPr>
      <w:r/>
      <w:r>
        <w:rPr>
          <w:rFonts w:ascii="Calibri" w:hAnsi="Calibri"/>
          <w:sz w:val="22"/>
        </w:rPr>
        <w:t>The NPPES-reported code is preserved as a taxonomies[] element with role=“reported” and taxonomy_authority=“NPPES”.</w:t>
      </w:r>
    </w:p>
    <w:p>
      <w:pPr>
        <w:pStyle w:val="ListBullet"/>
        <w:spacing w:after="60"/>
        <w:ind w:left="360"/>
      </w:pPr>
      <w:r/>
      <w:r>
        <w:rPr>
          <w:rFonts w:ascii="Calibri" w:hAnsi="Calibri"/>
          <w:sz w:val="22"/>
        </w:rPr>
        <w:t>A NUCC-current resolution is expressed on that same reported element as an embedded metadata block whose metadata_source is either “NUCC:v261” (when the code resolves) or “F105” (when the code is absent and the catalog carries a repair overlay).</w:t>
      </w:r>
    </w:p>
    <w:p>
      <w:pPr>
        <w:pStyle w:val="ListBullet"/>
        <w:spacing w:after="60"/>
        <w:ind w:left="360"/>
      </w:pPr>
      <w:r/>
      <w:r>
        <w:rPr>
          <w:rFonts w:ascii="Calibri" w:hAnsi="Calibri"/>
          <w:sz w:val="22"/>
        </w:rPr>
        <w:t>An approved mapping to a current NUCC code appears as a SEPARATE taxonomies[] element with role=“canonical_derived” and a related_taxonomy link back to the reported element with an explicit relationship code (possibly-equivalent-to, related-to, and so on).</w:t>
      </w:r>
    </w:p>
    <w:p>
      <w:pPr>
        <w:pStyle w:val="ListBullet"/>
        <w:spacing w:after="60"/>
        <w:ind w:left="360"/>
      </w:pPr>
      <w:r/>
      <w:r>
        <w:rPr>
          <w:rFonts w:ascii="Calibri" w:hAnsi="Calibri"/>
          <w:sz w:val="22"/>
        </w:rPr>
        <w:t>F-105 flag values on the reported code are marked with metadata_source=“F105” so downstream can distinguish flags derived from the authoritative-repair path from flags derived directly from a NUCC-current code resolution.</w:t>
      </w:r>
    </w:p>
    <w:p>
      <w:r>
        <w:br w:type="page"/>
      </w:r>
    </w:p>
    <w:p>
      <w:pPr>
        <w:pStyle w:val="Heading1"/>
      </w:pPr>
      <w:r>
        <w:rPr>
          <w:rFonts w:ascii="Calibri" w:hAnsi="Calibri"/>
        </w:rPr>
        <w:t>4. FHIR R5 Precedents — The Authority Slip</w:t>
      </w:r>
    </w:p>
    <w:p>
      <w:pPr>
        <w:spacing w:after="120"/>
      </w:pPr>
      <w:r>
        <w:rPr>
          <w:rFonts w:ascii="Calibri" w:hAnsi="Calibri"/>
          <w:b w:val="0"/>
          <w:i w:val="0"/>
          <w:sz w:val="22"/>
        </w:rPr>
        <w:t>The Reference Registry Drift Repair Pattern is not a novel proprietary invention. Every substantive design choice in the pattern implements a specific pattern that the HL7 FHIR R5 specification defines and normatively describes for exactly the class of terminology-management problem the pipeline faces. FHIR R5 is the authority slip: it legitimizes ChatHealthy.ai's approach as an implementation of accepted healthcare interoperability convention rather than a bespoke workaround.</w:t>
      </w:r>
    </w:p>
    <w:p>
      <w:pPr>
        <w:spacing w:after="120"/>
      </w:pPr>
      <w:r>
        <w:rPr>
          <w:rFonts w:ascii="Calibri" w:hAnsi="Calibri"/>
          <w:b w:val="0"/>
          <w:i w:val="0"/>
          <w:sz w:val="22"/>
        </w:rPr>
        <w:t>This section walks each FHIR R5 pattern the design uses, quotes or precisely paraphrases the specification language that authorizes the pattern, cites the specification URL, and explains in detail how the ChatHealthy design implements the pattern.</w:t>
      </w:r>
    </w:p>
    <w:p>
      <w:pPr>
        <w:pStyle w:val="Heading2"/>
      </w:pPr>
      <w:r>
        <w:rPr>
          <w:rFonts w:ascii="Calibri" w:hAnsi="Calibri"/>
        </w:rPr>
        <w:t>4.1 CodeableConcept with multiple codings</w:t>
      </w:r>
    </w:p>
    <w:p>
      <w:pPr>
        <w:spacing w:after="120"/>
      </w:pPr>
      <w:r>
        <w:rPr>
          <w:rFonts w:ascii="Calibri" w:hAnsi="Calibri"/>
          <w:b w:val="0"/>
          <w:i w:val="0"/>
          <w:sz w:val="22"/>
        </w:rPr>
        <w:t>The FHIR R5 CodeableConcept datatype is defined at https://hl7.org/fhir/R5/datatypes.html#CodeableConcept. The specification authorizes carrying more than one coded assertion inside a single conceptual field, across the same or different code systems:</w:t>
      </w:r>
    </w:p>
    <w:p>
      <w:pPr>
        <w:spacing w:before="120" w:after="40"/>
        <w:ind w:left="576" w:right="576"/>
      </w:pPr>
      <w:r>
        <w:rPr>
          <w:rFonts w:ascii="Calibri" w:hAnsi="Calibri"/>
          <w:i/>
          <w:sz w:val="20"/>
        </w:rPr>
        <w:t>“More than one code may be used in CodeableConcept, and the concept may be coded multiple times in different code systems or in the same code system.”</w:t>
      </w:r>
    </w:p>
    <w:p>
      <w:pPr>
        <w:spacing w:after="160"/>
        <w:ind w:left="576"/>
      </w:pPr>
      <w:r>
        <w:rPr>
          <w:rFonts w:ascii="Calibri" w:hAnsi="Calibri"/>
          <w:i/>
          <w:sz w:val="18"/>
        </w:rPr>
        <w:t>— HL7 FHIR R5, CodeableConcept, https://hl7.org/fhir/R5/datatypes.html#CodeableConcept</w:t>
      </w:r>
    </w:p>
    <w:p>
      <w:pPr>
        <w:spacing w:after="120"/>
      </w:pPr>
      <w:r>
        <w:rPr>
          <w:rFonts w:ascii="Calibri" w:hAnsi="Calibri"/>
          <w:b w:val="0"/>
          <w:i w:val="0"/>
          <w:sz w:val="22"/>
        </w:rPr>
        <w:t>The specification further states that the intent of multiple codings is to represent the same concept from different perspectives, including different vocabularies or different versions of the same vocabulary, so that receivers can choose the coding most appropriate to their processing context.</w:t>
      </w:r>
    </w:p>
    <w:p>
      <w:pPr>
        <w:spacing w:after="120"/>
      </w:pPr>
      <w:r>
        <w:rPr>
          <w:rFonts w:ascii="Calibri" w:hAnsi="Calibri"/>
          <w:b/>
          <w:i w:val="0"/>
          <w:sz w:val="22"/>
        </w:rPr>
        <w:t>ChatHealthy design implementation:</w:t>
      </w:r>
    </w:p>
    <w:p>
      <w:pPr>
        <w:spacing w:after="120"/>
      </w:pPr>
      <w:r>
        <w:rPr>
          <w:rFonts w:ascii="Calibri" w:hAnsi="Calibri"/>
          <w:b w:val="0"/>
          <w:i w:val="0"/>
          <w:sz w:val="22"/>
        </w:rPr>
        <w:t>The pipeline's provider record carries taxonomy assertions in a taxonomies[] array. Each element in taxonomies[] is analogous to a Coding inside a CodeableConcept: it names a code, the code system (always NUCC provider taxonomy), the display, and an explicit role tag identifying the perspective the coding represents. The two roles the pipeline uses are:</w:t>
      </w:r>
    </w:p>
    <w:p>
      <w:pPr>
        <w:pStyle w:val="ListBullet"/>
        <w:spacing w:after="60"/>
        <w:ind w:left="360"/>
      </w:pPr>
      <w:r/>
      <w:r>
        <w:rPr>
          <w:rFonts w:ascii="Calibri" w:hAnsi="Calibri"/>
          <w:sz w:val="22"/>
        </w:rPr>
        <w:t>role=“reported” — the coding as asserted by NPPES on the provider record. This element is present exactly once per reported taxonomy code and is never mutated after ingest.</w:t>
      </w:r>
    </w:p>
    <w:p>
      <w:pPr>
        <w:pStyle w:val="ListBullet"/>
        <w:spacing w:after="60"/>
        <w:ind w:left="360"/>
      </w:pPr>
      <w:r/>
      <w:r>
        <w:rPr>
          <w:rFonts w:ascii="Calibri" w:hAnsi="Calibri"/>
          <w:sz w:val="22"/>
        </w:rPr>
        <w:t>role=“canonical_derived” — an additional coding contributed by the pipeline when an approved F-105 mapping resolves the reported code to a current NUCC code. This element carries a related_taxonomy link naming the reported element and an explicit relationship code drawn from the FHIR ConceptMap relationship value set (see §4.3).</w:t>
      </w:r>
    </w:p>
    <w:p>
      <w:pPr>
        <w:spacing w:after="120"/>
      </w:pPr>
      <w:r>
        <w:rPr>
          <w:rFonts w:ascii="Calibri" w:hAnsi="Calibri"/>
          <w:b w:val="0"/>
          <w:i w:val="0"/>
          <w:sz w:val="22"/>
        </w:rPr>
        <w:t>Provider William Waller (NPI 1417801002), reported code 246ZS0400X, illustrates the shape:</w:t>
      </w:r>
    </w:p>
    <w:p>
      <w:pPr>
        <w:spacing w:after="120" w:before="80"/>
        <w:ind w:left="360"/>
        <w:shd w:val="clear" w:color="auto" w:fill="F2F2F2"/>
      </w:pPr>
      <w:r>
        <w:rPr>
          <w:rFonts w:ascii="Courier New" w:hAnsi="Courier New"/>
          <w:sz w:val="18"/>
        </w:rPr>
        <w:t>{</w:t>
        <w:br/>
      </w:r>
      <w:r>
        <w:rPr>
          <w:rFonts w:ascii="Courier New" w:hAnsi="Courier New"/>
          <w:sz w:val="18"/>
        </w:rPr>
        <w:t xml:space="preserve">  "npi": "1417801002",</w:t>
        <w:br/>
      </w:r>
      <w:r>
        <w:rPr>
          <w:rFonts w:ascii="Courier New" w:hAnsi="Courier New"/>
          <w:sz w:val="18"/>
        </w:rPr>
        <w:t xml:space="preserve">  "taxonomies": [</w:t>
        <w:br/>
      </w:r>
      <w:r>
        <w:rPr>
          <w:rFonts w:ascii="Courier New" w:hAnsi="Courier New"/>
          <w:sz w:val="18"/>
        </w:rPr>
        <w:t xml:space="preserve">    {</w:t>
        <w:br/>
      </w:r>
      <w:r>
        <w:rPr>
          <w:rFonts w:ascii="Courier New" w:hAnsi="Courier New"/>
          <w:sz w:val="18"/>
        </w:rPr>
        <w:t xml:space="preserve">      "role": "reported",</w:t>
        <w:br/>
      </w:r>
      <w:r>
        <w:rPr>
          <w:rFonts w:ascii="Courier New" w:hAnsi="Courier New"/>
          <w:sz w:val="18"/>
        </w:rPr>
        <w:t xml:space="preserve">      "code": "246ZS0400X",</w:t>
        <w:br/>
      </w:r>
      <w:r>
        <w:rPr>
          <w:rFonts w:ascii="Courier New" w:hAnsi="Courier New"/>
          <w:sz w:val="18"/>
        </w:rPr>
        <w:t xml:space="preserve">      "system": "http://nucc.org/provider-taxonomy",</w:t>
        <w:br/>
      </w:r>
      <w:r>
        <w:rPr>
          <w:rFonts w:ascii="Courier New" w:hAnsi="Courier New"/>
          <w:sz w:val="18"/>
        </w:rPr>
        <w:t xml:space="preserve">      "display": "Specialist/Technologist, Other, Surgical",</w:t>
        <w:br/>
      </w:r>
      <w:r>
        <w:rPr>
          <w:rFonts w:ascii="Courier New" w:hAnsi="Courier New"/>
          <w:sz w:val="18"/>
        </w:rPr>
        <w:t xml:space="preserve">      "taxonomy_authority": "NPPES",</w:t>
        <w:br/>
      </w:r>
      <w:r>
        <w:rPr>
          <w:rFonts w:ascii="Courier New" w:hAnsi="Courier New"/>
          <w:sz w:val="18"/>
        </w:rPr>
        <w:t xml:space="preserve">      "reference_status": "records_registry_only",</w:t>
        <w:br/>
      </w:r>
      <w:r>
        <w:rPr>
          <w:rFonts w:ascii="Courier New" w:hAnsi="Courier New"/>
          <w:sz w:val="18"/>
        </w:rPr>
        <w:t xml:space="preserve">      "metadata_source": "F105",</w:t>
        <w:br/>
      </w:r>
      <w:r>
        <w:rPr>
          <w:rFonts w:ascii="Courier New" w:hAnsi="Courier New"/>
          <w:sz w:val="18"/>
        </w:rPr>
        <w:t xml:space="preserve">      "metadata_source_version": "F105:2026-08-01",</w:t>
        <w:br/>
      </w:r>
      <w:r>
        <w:rPr>
          <w:rFonts w:ascii="Courier New" w:hAnsi="Courier New"/>
          <w:sz w:val="18"/>
        </w:rPr>
        <w:t xml:space="preserve">      "warning": "code_not_in_current_nucc_v261"</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"role": "canonical_derived",</w:t>
        <w:br/>
      </w:r>
      <w:r>
        <w:rPr>
          <w:rFonts w:ascii="Courier New" w:hAnsi="Courier New"/>
          <w:sz w:val="18"/>
        </w:rPr>
        <w:t xml:space="preserve">      "code": "246ZS0410X",</w:t>
        <w:br/>
      </w:r>
      <w:r>
        <w:rPr>
          <w:rFonts w:ascii="Courier New" w:hAnsi="Courier New"/>
          <w:sz w:val="18"/>
        </w:rPr>
        <w:t xml:space="preserve">      "system": "http://nucc.org/provider-taxonomy",</w:t>
        <w:br/>
      </w:r>
      <w:r>
        <w:rPr>
          <w:rFonts w:ascii="Courier New" w:hAnsi="Courier New"/>
          <w:sz w:val="18"/>
        </w:rPr>
        <w:t xml:space="preserve">      "display": "Surgical Technologist",</w:t>
        <w:br/>
      </w:r>
      <w:r>
        <w:rPr>
          <w:rFonts w:ascii="Courier New" w:hAnsi="Courier New"/>
          <w:sz w:val="18"/>
        </w:rPr>
        <w:t xml:space="preserve">      "taxonomy_authority": "NUCC",</w:t>
        <w:br/>
      </w:r>
      <w:r>
        <w:rPr>
          <w:rFonts w:ascii="Courier New" w:hAnsi="Courier New"/>
          <w:sz w:val="18"/>
        </w:rPr>
        <w:t xml:space="preserve">      "reference_status": "current_reference",</w:t>
        <w:br/>
      </w:r>
      <w:r>
        <w:rPr>
          <w:rFonts w:ascii="Courier New" w:hAnsi="Courier New"/>
          <w:sz w:val="18"/>
        </w:rPr>
        <w:t xml:space="preserve">      "metadata_source": "NUCC:v261",</w:t>
        <w:br/>
      </w:r>
      <w:r>
        <w:rPr>
          <w:rFonts w:ascii="Courier New" w:hAnsi="Courier New"/>
          <w:sz w:val="18"/>
        </w:rPr>
        <w:t xml:space="preserve">      "related_taxonomy": {</w:t>
        <w:br/>
      </w:r>
      <w:r>
        <w:rPr>
          <w:rFonts w:ascii="Courier New" w:hAnsi="Courier New"/>
          <w:sz w:val="18"/>
        </w:rPr>
        <w:t xml:space="preserve">        "target_role": "reported",</w:t>
        <w:br/>
      </w:r>
      <w:r>
        <w:rPr>
          <w:rFonts w:ascii="Courier New" w:hAnsi="Courier New"/>
          <w:sz w:val="18"/>
        </w:rPr>
        <w:t xml:space="preserve">        "target_code": "246ZS0400X",</w:t>
        <w:br/>
      </w:r>
      <w:r>
        <w:rPr>
          <w:rFonts w:ascii="Courier New" w:hAnsi="Courier New"/>
          <w:sz w:val="18"/>
        </w:rPr>
        <w:t xml:space="preserve">        "relationship": "possibly-equivalent-to",</w:t>
        <w:br/>
      </w:r>
      <w:r>
        <w:rPr>
          <w:rFonts w:ascii="Courier New" w:hAnsi="Courier New"/>
          <w:sz w:val="18"/>
        </w:rPr>
        <w:t xml:space="preserve">        "mapping_source": "F105",</w:t>
        <w:br/>
      </w:r>
      <w:r>
        <w:rPr>
          <w:rFonts w:ascii="Courier New" w:hAnsi="Courier New"/>
          <w:sz w:val="18"/>
        </w:rPr>
        <w:t xml:space="preserve">        "mapping_source_version": "F105:2026-08-01"</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spacing w:after="120"/>
      </w:pPr>
      <w:r>
        <w:rPr>
          <w:rFonts w:ascii="Calibri" w:hAnsi="Calibri"/>
          <w:b w:val="0"/>
          <w:i w:val="0"/>
          <w:sz w:val="22"/>
        </w:rPr>
        <w:t>Both codings coexist on the same provider record with equal standing. Downstream consumers that require a NUCC-current code for filtering can key on the canonical_derived element; consumers that require an audit-preserving view of what was actually reported by NPPES can key on the reported element. Neither view hides the other.</w:t>
      </w:r>
    </w:p>
    <w:p>
      <w:pPr>
        <w:pStyle w:val="Heading2"/>
      </w:pPr>
      <w:r>
        <w:rPr>
          <w:rFonts w:ascii="Calibri" w:hAnsi="Calibri"/>
        </w:rPr>
        <w:t>4.2 CodeSystem supplements</w:t>
      </w:r>
    </w:p>
    <w:p>
      <w:pPr>
        <w:spacing w:after="120"/>
      </w:pPr>
      <w:r>
        <w:rPr>
          <w:rFonts w:ascii="Calibri" w:hAnsi="Calibri"/>
          <w:b w:val="0"/>
          <w:i w:val="0"/>
          <w:sz w:val="22"/>
        </w:rPr>
        <w:t>The FHIR R5 CodeSystem resource supports a specific mechanism called a “CodeSystem supplement” for adding content or properties to an existing CodeSystem without redefining or replacing it. The mechanism is defined at https://hl7.org/fhir/R5/codesystem.html#supplements. In paraphrase, the specification allows an implementer to publish a CodeSystem whose content mode is “supplement” and whose supplements element points at the base CodeSystem it augments. A supplement may add designations (alternate display names) and additional properties to concepts that already exist in the supplemented CodeSystem. A supplement MUST NOT redefine the meaning of a code, MUST NOT replace the base publication, and MUST NOT be interpreted as authoritative for the base CodeSystem's own definitions.</w:t>
      </w:r>
    </w:p>
    <w:p>
      <w:pPr>
        <w:spacing w:before="120" w:after="40"/>
        <w:ind w:left="576" w:right="576"/>
      </w:pPr>
      <w:r>
        <w:rPr>
          <w:rFonts w:ascii="Calibri" w:hAnsi="Calibri"/>
          <w:i/>
          <w:sz w:val="20"/>
        </w:rPr>
        <w:t>“Supplements are used to define properties and designations for the concepts of another code system without redefining or replacing that code system. A code system supplement can only define content that is additional to the base code system.”</w:t>
      </w:r>
    </w:p>
    <w:p>
      <w:pPr>
        <w:spacing w:after="160"/>
        <w:ind w:left="576"/>
      </w:pPr>
      <w:r>
        <w:rPr>
          <w:rFonts w:ascii="Calibri" w:hAnsi="Calibri"/>
          <w:i/>
          <w:sz w:val="18"/>
        </w:rPr>
        <w:t>— HL7 FHIR R5, CodeSystem, https://hl7.org/fhir/R5/codesystem.html#supplements</w:t>
      </w:r>
    </w:p>
    <w:p>
      <w:pPr>
        <w:spacing w:after="120"/>
      </w:pPr>
      <w:r>
        <w:rPr>
          <w:rFonts w:ascii="Calibri" w:hAnsi="Calibri"/>
          <w:b/>
          <w:i w:val="0"/>
          <w:sz w:val="22"/>
        </w:rPr>
        <w:t>ChatHealthy design implementation:</w:t>
      </w:r>
    </w:p>
    <w:p>
      <w:pPr>
        <w:spacing w:after="120"/>
      </w:pPr>
      <w:r>
        <w:rPr>
          <w:rFonts w:ascii="Calibri" w:hAnsi="Calibri"/>
          <w:b w:val="0"/>
          <w:i w:val="0"/>
          <w:sz w:val="22"/>
        </w:rPr>
        <w:t>The F-105 catalog is directly analogous to a FHIR CodeSystem supplement over the NUCC Health Care Provider Taxonomy CodeSystem. F-105 adds three classes of content that NUCC does not publish:</w:t>
      </w:r>
    </w:p>
    <w:p>
      <w:pPr>
        <w:pStyle w:val="ListBullet"/>
        <w:spacing w:after="60"/>
        <w:ind w:left="360"/>
      </w:pPr>
      <w:r/>
      <w:r>
        <w:rPr>
          <w:rFonts w:ascii="Calibri" w:hAnsi="Calibri"/>
          <w:sz w:val="22"/>
        </w:rPr>
        <w:t>Product-specific properties: can_prescribe and homeopathic booleans per NUCC code. These are additional properties layered on codes that exist in NUCC, exactly matching the FHIR supplement pattern.</w:t>
      </w:r>
    </w:p>
    <w:p>
      <w:pPr>
        <w:pStyle w:val="ListBullet"/>
        <w:spacing w:after="60"/>
        <w:ind w:left="360"/>
      </w:pPr>
      <w:r/>
      <w:r>
        <w:rPr>
          <w:rFonts w:ascii="Calibri" w:hAnsi="Calibri"/>
          <w:sz w:val="22"/>
        </w:rPr>
        <w:t>Operational metadata (reference_status, curation_status, curation_notes, first_observed_reference_version, last_verified_reference_version) that supports governance of the supplement itself.</w:t>
      </w:r>
    </w:p>
    <w:p>
      <w:pPr>
        <w:pStyle w:val="ListBullet"/>
        <w:spacing w:after="60"/>
        <w:ind w:left="360"/>
      </w:pPr>
      <w:r/>
      <w:r>
        <w:rPr>
          <w:rFonts w:ascii="Calibri" w:hAnsi="Calibri"/>
          <w:sz w:val="22"/>
        </w:rPr>
        <w:t>Provenance fields identifying who or what generated the supplement entry, when, and against what NUCC and F-105 versions.</w:t>
      </w:r>
    </w:p>
    <w:p>
      <w:pPr>
        <w:spacing w:after="120"/>
      </w:pPr>
      <w:r>
        <w:rPr>
          <w:rFonts w:ascii="Calibri" w:hAnsi="Calibri"/>
          <w:b w:val="0"/>
          <w:i w:val="0"/>
          <w:sz w:val="22"/>
        </w:rPr>
        <w:t>IMPORTANT QUALIFICATION. FHIR's CodeSystem supplement pattern explicitly and only supports adding properties to codes that already exist in the supplemented CodeSystem. A code that is present in NPPES records but is NOT present in current NUCC is, from FHIR's perspective, not a candidate for a plain CodeSystem supplement entry. That case is more than a supplement — it is a locally governed operational concept whose relationship to the standard CodeSystem must be made explicit through a different mechanism. The pattern uses the ConceptMap mechanism (§4.3) to make that relationship explicit, and marks the F-105 entry for such codes with reference_status=“records_registry_only” or reference_status=“locally_curated” so consumers can distinguish “adds properties to a NUCC code” from “describes a code that is not in current NUCC.”</w:t>
      </w:r>
    </w:p>
    <w:p>
      <w:pPr>
        <w:spacing w:after="120"/>
      </w:pPr>
      <w:r>
        <w:rPr>
          <w:rFonts w:ascii="Calibri" w:hAnsi="Calibri"/>
          <w:b w:val="0"/>
          <w:i w:val="0"/>
          <w:sz w:val="22"/>
        </w:rPr>
        <w:t>In FHIR-native terms the F-105 catalog is therefore a hybrid artifact: a CodeSystem supplement for codes present in NUCC, plus a locally-governed operational registry (accompanied by ConceptMap-shaped mapping entries) for codes not present in NUCC. Both halves preserve the non-mutation guarantee: F-105 never republishes NUCC and never redefines a NUCC code's meaning.</w:t>
      </w:r>
    </w:p>
    <w:p>
      <w:pPr>
        <w:spacing w:after="120" w:before="80"/>
        <w:ind w:left="360"/>
        <w:shd w:val="clear" w:color="auto" w:fill="F2F2F2"/>
      </w:pPr>
      <w:r>
        <w:rPr>
          <w:rFonts w:ascii="Courier New" w:hAnsi="Courier New"/>
          <w:sz w:val="18"/>
        </w:rPr>
        <w:t>// Example F-105 catalog entry — a code PRESENT in current NUCC.</w:t>
        <w:br/>
      </w:r>
      <w:r>
        <w:rPr>
          <w:rFonts w:ascii="Courier New" w:hAnsi="Courier New"/>
          <w:sz w:val="18"/>
        </w:rPr>
        <w:t>// This half of the catalog is a pure FHIR supplement analogue.</w:t>
        <w:br/>
      </w:r>
      <w:r>
        <w:rPr>
          <w:rFonts w:ascii="Courier New" w:hAnsi="Courier New"/>
          <w:sz w:val="18"/>
        </w:rPr>
        <w:t>{</w:t>
        <w:br/>
      </w:r>
      <w:r>
        <w:rPr>
          <w:rFonts w:ascii="Courier New" w:hAnsi="Courier New"/>
          <w:sz w:val="18"/>
        </w:rPr>
        <w:t xml:space="preserve">  "code": "207Q00000X",</w:t>
        <w:br/>
      </w:r>
      <w:r>
        <w:rPr>
          <w:rFonts w:ascii="Courier New" w:hAnsi="Courier New"/>
          <w:sz w:val="18"/>
        </w:rPr>
        <w:t xml:space="preserve">  "reference_status": "current_reference",</w:t>
        <w:br/>
      </w:r>
      <w:r>
        <w:rPr>
          <w:rFonts w:ascii="Courier New" w:hAnsi="Courier New"/>
          <w:sz w:val="18"/>
        </w:rPr>
        <w:t xml:space="preserve">  "flags": { "can_prescribe": true, "homeopathic": false },</w:t>
        <w:br/>
      </w:r>
      <w:r>
        <w:rPr>
          <w:rFonts w:ascii="Courier New" w:hAnsi="Courier New"/>
          <w:sz w:val="18"/>
        </w:rPr>
        <w:t xml:space="preserve">  "metadata_source": "NUCC:v261 + F105:2026-08-01",</w:t>
        <w:br/>
      </w:r>
      <w:r>
        <w:rPr>
          <w:rFonts w:ascii="Courier New" w:hAnsi="Courier New"/>
          <w:sz w:val="18"/>
        </w:rPr>
        <w:t xml:space="preserve">  "curation_status": "approved",</w:t>
        <w:br/>
      </w:r>
      <w:r>
        <w:rPr>
          <w:rFonts w:ascii="Courier New" w:hAnsi="Courier New"/>
          <w:sz w:val="18"/>
        </w:rPr>
        <w:t xml:space="preserve">  "first_observed_reference_version": "v220",</w:t>
        <w:br/>
      </w:r>
      <w:r>
        <w:rPr>
          <w:rFonts w:ascii="Courier New" w:hAnsi="Courier New"/>
          <w:sz w:val="18"/>
        </w:rPr>
        <w:t xml:space="preserve">  "last_verified_reference_version": "v261",</w:t>
        <w:br/>
      </w:r>
      <w:r>
        <w:rPr>
          <w:rFonts w:ascii="Courier New" w:hAnsi="Courier New"/>
          <w:sz w:val="18"/>
        </w:rPr>
        <w:t xml:space="preserve">  "catalog_version": "F105:2026-08-01"</w:t>
        <w:br/>
      </w:r>
      <w:r>
        <w:rPr>
          <w:rFonts w:ascii="Courier New" w:hAnsi="Courier New"/>
          <w:sz w:val="18"/>
        </w:rPr>
        <w:t>}</w:t>
        <w:br/>
      </w:r>
      <w:r>
        <w:rPr>
          <w:rFonts w:ascii="Courier New" w:hAnsi="Courier New"/>
          <w:sz w:val="18"/>
        </w:rPr>
        <w:br/>
      </w:r>
      <w:r>
        <w:rPr>
          <w:rFonts w:ascii="Courier New" w:hAnsi="Courier New"/>
          <w:sz w:val="18"/>
        </w:rPr>
        <w:t>// Example F-105 catalog entry — a code ABSENT from current NUCC.</w:t>
        <w:br/>
      </w:r>
      <w:r>
        <w:rPr>
          <w:rFonts w:ascii="Courier New" w:hAnsi="Courier New"/>
          <w:sz w:val="18"/>
        </w:rPr>
        <w:t>// This half is a locally-governed operational registry entry</w:t>
        <w:br/>
      </w:r>
      <w:r>
        <w:rPr>
          <w:rFonts w:ascii="Courier New" w:hAnsi="Courier New"/>
          <w:sz w:val="18"/>
        </w:rPr>
        <w:t>// paired with a ConceptMap-shaped related_taxonomy elsewhere.</w:t>
        <w:br/>
      </w:r>
      <w:r>
        <w:rPr>
          <w:rFonts w:ascii="Courier New" w:hAnsi="Courier New"/>
          <w:sz w:val="18"/>
        </w:rPr>
        <w:t>{</w:t>
        <w:br/>
      </w:r>
      <w:r>
        <w:rPr>
          <w:rFonts w:ascii="Courier New" w:hAnsi="Courier New"/>
          <w:sz w:val="18"/>
        </w:rPr>
        <w:t xml:space="preserve">  "code": "246ZS0400X",</w:t>
        <w:br/>
      </w:r>
      <w:r>
        <w:rPr>
          <w:rFonts w:ascii="Courier New" w:hAnsi="Courier New"/>
          <w:sz w:val="18"/>
        </w:rPr>
        <w:t xml:space="preserve">  "reference_status": "records_registry_only",</w:t>
        <w:br/>
      </w:r>
      <w:r>
        <w:rPr>
          <w:rFonts w:ascii="Courier New" w:hAnsi="Courier New"/>
          <w:sz w:val="18"/>
        </w:rPr>
        <w:t xml:space="preserve">  "curated_display": "Specialist/Technologist, Other, Surgical (retired NUCC label)",</w:t>
        <w:br/>
      </w:r>
      <w:r>
        <w:rPr>
          <w:rFonts w:ascii="Courier New" w:hAnsi="Courier New"/>
          <w:sz w:val="18"/>
        </w:rPr>
        <w:t xml:space="preserve">  "curated_grouping": "Technologists, Technicians and Other Technical Service Providers",</w:t>
        <w:br/>
      </w:r>
      <w:r>
        <w:rPr>
          <w:rFonts w:ascii="Courier New" w:hAnsi="Courier New"/>
          <w:sz w:val="18"/>
        </w:rPr>
        <w:t xml:space="preserve">  "flags": { "can_prescribe": false, "homeopathic": false },</w:t>
        <w:br/>
      </w:r>
      <w:r>
        <w:rPr>
          <w:rFonts w:ascii="Courier New" w:hAnsi="Courier New"/>
          <w:sz w:val="18"/>
        </w:rPr>
        <w:t xml:space="preserve">  "metadata_source": "F105",</w:t>
        <w:br/>
      </w:r>
      <w:r>
        <w:rPr>
          <w:rFonts w:ascii="Courier New" w:hAnsi="Courier New"/>
          <w:sz w:val="18"/>
        </w:rPr>
        <w:t xml:space="preserve">  "curation_status": "approved",</w:t>
        <w:br/>
      </w:r>
      <w:r>
        <w:rPr>
          <w:rFonts w:ascii="Courier New" w:hAnsi="Courier New"/>
          <w:sz w:val="18"/>
        </w:rPr>
        <w:t xml:space="preserve">  "curation_notes": "Present on NPPES active records; absent from NUCC v261; "</w:t>
        <w:br/>
      </w:r>
      <w:r>
        <w:rPr>
          <w:rFonts w:ascii="Courier New" w:hAnsi="Courier New"/>
          <w:sz w:val="18"/>
        </w:rPr>
        <w:t xml:space="preserve">                    "closest current NUCC code is 246ZS0410X.",</w:t>
        <w:br/>
      </w:r>
      <w:r>
        <w:rPr>
          <w:rFonts w:ascii="Courier New" w:hAnsi="Courier New"/>
          <w:sz w:val="18"/>
        </w:rPr>
        <w:t xml:space="preserve">  "first_observed_reference_version": "v210",</w:t>
        <w:br/>
      </w:r>
      <w:r>
        <w:rPr>
          <w:rFonts w:ascii="Courier New" w:hAnsi="Courier New"/>
          <w:sz w:val="18"/>
        </w:rPr>
        <w:t xml:space="preserve">  "last_verified_reference_version": "v261",</w:t>
        <w:br/>
      </w:r>
      <w:r>
        <w:rPr>
          <w:rFonts w:ascii="Courier New" w:hAnsi="Courier New"/>
          <w:sz w:val="18"/>
        </w:rPr>
        <w:t xml:space="preserve">  "catalog_version": "F105:2026-08-01"</w:t>
        <w:br/>
      </w:r>
      <w:r>
        <w:rPr>
          <w:rFonts w:ascii="Courier New" w:hAnsi="Courier New"/>
          <w:sz w:val="18"/>
        </w:rPr>
        <w:t>}</w:t>
        <w:br/>
      </w:r>
    </w:p>
    <w:p>
      <w:pPr>
        <w:pStyle w:val="Heading2"/>
      </w:pPr>
      <w:r>
        <w:rPr>
          <w:rFonts w:ascii="Calibri" w:hAnsi="Calibri"/>
        </w:rPr>
        <w:t>4.3 ConceptMap for canonical mapping</w:t>
      </w:r>
    </w:p>
    <w:p>
      <w:pPr>
        <w:spacing w:after="120"/>
      </w:pPr>
      <w:r>
        <w:rPr>
          <w:rFonts w:ascii="Calibri" w:hAnsi="Calibri"/>
          <w:b w:val="0"/>
          <w:i w:val="0"/>
          <w:sz w:val="22"/>
        </w:rPr>
        <w:t>FHIR R5 defines ConceptMap as the resource for expressing relationships between concepts in different code systems, or between concepts in different versions of the same code system. See https://hl7.org/fhir/R5/conceptmap.html. Each mapping carries an explicit relationship code drawn from the concept-map-relationship value set at https://hl7.org/fhir/R5/valueset-concept-map-relationship.html. The allowed relationship codes include:</w:t>
      </w:r>
    </w:p>
    <w:p>
      <w:pPr>
        <w:pStyle w:val="ListBullet"/>
        <w:spacing w:after="60"/>
        <w:ind w:left="360"/>
      </w:pPr>
      <w:r/>
      <w:r>
        <w:rPr>
          <w:rFonts w:ascii="Calibri" w:hAnsi="Calibri"/>
          <w:sz w:val="22"/>
        </w:rPr>
        <w:t>related-to — the concepts are related in some way</w:t>
      </w:r>
    </w:p>
    <w:p>
      <w:pPr>
        <w:pStyle w:val="ListBullet"/>
        <w:spacing w:after="60"/>
        <w:ind w:left="360"/>
      </w:pPr>
      <w:r/>
      <w:r>
        <w:rPr>
          <w:rFonts w:ascii="Calibri" w:hAnsi="Calibri"/>
          <w:sz w:val="22"/>
        </w:rPr>
        <w:t>equivalent — the concepts are equivalent</w:t>
      </w:r>
    </w:p>
    <w:p>
      <w:pPr>
        <w:pStyle w:val="ListBullet"/>
        <w:spacing w:after="60"/>
        <w:ind w:left="360"/>
      </w:pPr>
      <w:r/>
      <w:r>
        <w:rPr>
          <w:rFonts w:ascii="Calibri" w:hAnsi="Calibri"/>
          <w:sz w:val="22"/>
        </w:rPr>
        <w:t>source-is-narrower-than-target</w:t>
      </w:r>
    </w:p>
    <w:p>
      <w:pPr>
        <w:pStyle w:val="ListBullet"/>
        <w:spacing w:after="60"/>
        <w:ind w:left="360"/>
      </w:pPr>
      <w:r/>
      <w:r>
        <w:rPr>
          <w:rFonts w:ascii="Calibri" w:hAnsi="Calibri"/>
          <w:sz w:val="22"/>
        </w:rPr>
        <w:t>source-is-broader-than-target</w:t>
      </w:r>
    </w:p>
    <w:p>
      <w:pPr>
        <w:pStyle w:val="ListBullet"/>
        <w:spacing w:after="60"/>
        <w:ind w:left="360"/>
      </w:pPr>
      <w:r/>
      <w:r>
        <w:rPr>
          <w:rFonts w:ascii="Calibri" w:hAnsi="Calibri"/>
          <w:sz w:val="22"/>
        </w:rPr>
        <w:t>not-related-to — the concepts are not related</w:t>
      </w:r>
    </w:p>
    <w:p>
      <w:pPr>
        <w:spacing w:after="120"/>
      </w:pPr>
      <w:r>
        <w:rPr>
          <w:rFonts w:ascii="Calibri" w:hAnsi="Calibri"/>
          <w:b w:val="0"/>
          <w:i w:val="0"/>
          <w:sz w:val="22"/>
        </w:rPr>
        <w:t>Older FHIR versions and community conventions include the code “possibly-equivalent-to” for cases where equivalence is a curator judgment call rather than a formal semantic equivalence. The ChatHealthy pattern uses “possibly-equivalent-to” and “related-to” as the two default judgment codes for repair mappings, precisely because the drift-repair context is inherently one of curator judgment: NUCC has retired the reported code and no upstream authority has committed to the mapping.</w:t>
      </w:r>
    </w:p>
    <w:p>
      <w:pPr>
        <w:spacing w:before="120" w:after="40"/>
        <w:ind w:left="576" w:right="576"/>
      </w:pPr>
      <w:r>
        <w:rPr>
          <w:rFonts w:ascii="Calibri" w:hAnsi="Calibri"/>
          <w:i/>
          <w:sz w:val="20"/>
        </w:rPr>
        <w:t>“A ConceptMap resource defines a mapping between two sets of concepts, either from different code systems or from different versions of the same code system. The mapping defines source concept(s), target concept(s), and the relationship between them.”</w:t>
      </w:r>
    </w:p>
    <w:p>
      <w:pPr>
        <w:spacing w:after="160"/>
        <w:ind w:left="576"/>
      </w:pPr>
      <w:r>
        <w:rPr>
          <w:rFonts w:ascii="Calibri" w:hAnsi="Calibri"/>
          <w:i/>
          <w:sz w:val="18"/>
        </w:rPr>
        <w:t>— HL7 FHIR R5, ConceptMap, https://hl7.org/fhir/R5/conceptmap.html</w:t>
      </w:r>
    </w:p>
    <w:p>
      <w:pPr>
        <w:spacing w:after="120"/>
      </w:pPr>
      <w:r>
        <w:rPr>
          <w:rFonts w:ascii="Calibri" w:hAnsi="Calibri"/>
          <w:b w:val="0"/>
          <w:i w:val="0"/>
          <w:sz w:val="22"/>
        </w:rPr>
        <w:t>The FHIR R5 $translate operation at https://hl7.org/fhir/R5/operation-conceptmap-translate.html defines the runtime semantic: a translate call returns a set of matches, each with its own relationship, and the caller is responsible for choosing which match to use. Translate is NOT specified to silently rewrite the source coding; it augments the response with candidate target codings and their relationships.</w:t>
      </w:r>
    </w:p>
    <w:p>
      <w:pPr>
        <w:spacing w:after="120"/>
      </w:pPr>
      <w:r>
        <w:rPr>
          <w:rFonts w:ascii="Calibri" w:hAnsi="Calibri"/>
          <w:b/>
          <w:i w:val="0"/>
          <w:sz w:val="22"/>
        </w:rPr>
        <w:t>ChatHealthy design implementation:</w:t>
      </w:r>
    </w:p>
    <w:p>
      <w:pPr>
        <w:spacing w:after="120"/>
      </w:pPr>
      <w:r>
        <w:rPr>
          <w:rFonts w:ascii="Calibri" w:hAnsi="Calibri"/>
          <w:b w:val="0"/>
          <w:i w:val="0"/>
          <w:sz w:val="22"/>
        </w:rPr>
        <w:t>The approved F-105 mapping 246ZS0400X → 246ZS0410X is modeled exactly as a ConceptMap element with relationship=“possibly-equivalent-to.” It is not modeled as a substitution of the reported code with the target code. On the provider record, the mapping appears as:</w:t>
      </w:r>
    </w:p>
    <w:p>
      <w:pPr>
        <w:pStyle w:val="ListBullet"/>
        <w:spacing w:after="60"/>
        <w:ind w:left="360"/>
      </w:pPr>
      <w:r/>
      <w:r>
        <w:rPr>
          <w:rFonts w:ascii="Calibri" w:hAnsi="Calibri"/>
          <w:sz w:val="22"/>
        </w:rPr>
        <w:t>The reported taxonomies[] element (role=“reported,” code=246ZS0400X) is retained verbatim.</w:t>
      </w:r>
    </w:p>
    <w:p>
      <w:pPr>
        <w:pStyle w:val="ListBullet"/>
        <w:spacing w:after="60"/>
        <w:ind w:left="360"/>
      </w:pPr>
      <w:r/>
      <w:r>
        <w:rPr>
          <w:rFonts w:ascii="Calibri" w:hAnsi="Calibri"/>
          <w:sz w:val="22"/>
        </w:rPr>
        <w:t>A second taxonomies[] element (role=“canonical_derived,” code=246ZS0410X) is added.</w:t>
      </w:r>
    </w:p>
    <w:p>
      <w:pPr>
        <w:pStyle w:val="ListBullet"/>
        <w:spacing w:after="60"/>
        <w:ind w:left="360"/>
      </w:pPr>
      <w:r/>
      <w:r>
        <w:rPr>
          <w:rFonts w:ascii="Calibri" w:hAnsi="Calibri"/>
          <w:sz w:val="22"/>
        </w:rPr>
        <w:t>The canonical_derived element carries a related_taxonomy block naming the reported element and the relationship code drawn from the concept-map-relationship value set.</w:t>
      </w:r>
    </w:p>
    <w:p>
      <w:pPr>
        <w:pStyle w:val="ListBullet"/>
        <w:spacing w:after="60"/>
        <w:ind w:left="360"/>
      </w:pPr>
      <w:r/>
      <w:r>
        <w:rPr>
          <w:rFonts w:ascii="Calibri" w:hAnsi="Calibri"/>
          <w:sz w:val="22"/>
        </w:rPr>
        <w:t>The mapping's source (“F105”), the F-105 catalog version, and the mapping's approval provenance are all recorded on the canonical_derived element.</w:t>
      </w:r>
    </w:p>
    <w:p>
      <w:pPr>
        <w:spacing w:after="120"/>
      </w:pPr>
      <w:r>
        <w:rPr>
          <w:rFonts w:ascii="Calibri" w:hAnsi="Calibri"/>
          <w:b w:val="0"/>
          <w:i w:val="0"/>
          <w:sz w:val="22"/>
        </w:rPr>
        <w:t>The runtime behavior is analogous to FHIR $translate: the pipeline can “ask the catalog what the current NUCC equivalent is,” receive a candidate match with an explicit relationship code, and choose whether to render or filter using the target code. The choice is downstream; the mapping is data.</w:t>
      </w:r>
    </w:p>
    <w:p>
      <w:pPr>
        <w:spacing w:after="120" w:before="80"/>
        <w:ind w:left="360"/>
        <w:shd w:val="clear" w:color="auto" w:fill="F2F2F2"/>
      </w:pPr>
      <w:r>
        <w:rPr>
          <w:rFonts w:ascii="Courier New" w:hAnsi="Courier New"/>
          <w:sz w:val="18"/>
        </w:rPr>
        <w:t>// ConceptMap-shape mapping entry (embedded in F-105 or the pipeline’s</w:t>
        <w:br/>
      </w:r>
      <w:r>
        <w:rPr>
          <w:rFonts w:ascii="Courier New" w:hAnsi="Courier New"/>
          <w:sz w:val="18"/>
        </w:rPr>
        <w:t>// mapping registry). This is the shape the runtime consults when generating</w:t>
        <w:br/>
      </w:r>
      <w:r>
        <w:rPr>
          <w:rFonts w:ascii="Courier New" w:hAnsi="Courier New"/>
          <w:sz w:val="18"/>
        </w:rPr>
        <w:t>// the canonical_derived element on the provider record.</w:t>
        <w:br/>
      </w:r>
      <w:r>
        <w:rPr>
          <w:rFonts w:ascii="Courier New" w:hAnsi="Courier New"/>
          <w:sz w:val="18"/>
        </w:rPr>
        <w:t>{</w:t>
        <w:br/>
      </w:r>
      <w:r>
        <w:rPr>
          <w:rFonts w:ascii="Courier New" w:hAnsi="Courier New"/>
          <w:sz w:val="18"/>
        </w:rPr>
        <w:t xml:space="preserve">  "source_code": "246ZS0400X",</w:t>
        <w:br/>
      </w:r>
      <w:r>
        <w:rPr>
          <w:rFonts w:ascii="Courier New" w:hAnsi="Courier New"/>
          <w:sz w:val="18"/>
        </w:rPr>
        <w:t xml:space="preserve">  "source_system": "http://nucc.org/provider-taxonomy",</w:t>
        <w:br/>
      </w:r>
      <w:r>
        <w:rPr>
          <w:rFonts w:ascii="Courier New" w:hAnsi="Courier New"/>
          <w:sz w:val="18"/>
        </w:rPr>
        <w:t xml:space="preserve">  "source_status": "records_registry_only",</w:t>
        <w:br/>
      </w:r>
      <w:r>
        <w:rPr>
          <w:rFonts w:ascii="Courier New" w:hAnsi="Courier New"/>
          <w:sz w:val="18"/>
        </w:rPr>
        <w:t xml:space="preserve">  "target_code": "246ZS0410X",</w:t>
        <w:br/>
      </w:r>
      <w:r>
        <w:rPr>
          <w:rFonts w:ascii="Courier New" w:hAnsi="Courier New"/>
          <w:sz w:val="18"/>
        </w:rPr>
        <w:t xml:space="preserve">  "target_system": "http://nucc.org/provider-taxonomy",</w:t>
        <w:br/>
      </w:r>
      <w:r>
        <w:rPr>
          <w:rFonts w:ascii="Courier New" w:hAnsi="Courier New"/>
          <w:sz w:val="18"/>
        </w:rPr>
        <w:t xml:space="preserve">  "target_status": "current_reference",</w:t>
        <w:br/>
      </w:r>
      <w:r>
        <w:rPr>
          <w:rFonts w:ascii="Courier New" w:hAnsi="Courier New"/>
          <w:sz w:val="18"/>
        </w:rPr>
        <w:t xml:space="preserve">  "relationship": "possibly-equivalent-to",</w:t>
        <w:br/>
      </w:r>
      <w:r>
        <w:rPr>
          <w:rFonts w:ascii="Courier New" w:hAnsi="Courier New"/>
          <w:sz w:val="18"/>
        </w:rPr>
        <w:t xml:space="preserve">  "rationale": "Reported code is retired/never-published; target is the "</w:t>
        <w:br/>
      </w:r>
      <w:r>
        <w:rPr>
          <w:rFonts w:ascii="Courier New" w:hAnsi="Courier New"/>
          <w:sz w:val="18"/>
        </w:rPr>
        <w:t xml:space="preserve">               "closest current NUCC code; one-digit variance in the "</w:t>
        <w:br/>
      </w:r>
      <w:r>
        <w:rPr>
          <w:rFonts w:ascii="Courier New" w:hAnsi="Courier New"/>
          <w:sz w:val="18"/>
        </w:rPr>
        <w:t xml:space="preserve">               "specialization segment; curator judgment.",</w:t>
        <w:br/>
      </w:r>
      <w:r>
        <w:rPr>
          <w:rFonts w:ascii="Courier New" w:hAnsi="Courier New"/>
          <w:sz w:val="18"/>
        </w:rPr>
        <w:t xml:space="preserve">  "curation_status": "approved",</w:t>
        <w:br/>
      </w:r>
      <w:r>
        <w:rPr>
          <w:rFonts w:ascii="Courier New" w:hAnsi="Courier New"/>
          <w:sz w:val="18"/>
        </w:rPr>
        <w:t xml:space="preserve">  "approved_by": "chathealthy_terminology_review",</w:t>
        <w:br/>
      </w:r>
      <w:r>
        <w:rPr>
          <w:rFonts w:ascii="Courier New" w:hAnsi="Courier New"/>
          <w:sz w:val="18"/>
        </w:rPr>
        <w:t xml:space="preserve">  "approved_at": "2026-08-01",</w:t>
        <w:br/>
      </w:r>
      <w:r>
        <w:rPr>
          <w:rFonts w:ascii="Courier New" w:hAnsi="Courier New"/>
          <w:sz w:val="18"/>
        </w:rPr>
        <w:t xml:space="preserve">  "catalog_version": "F105:2026-08-01"</w:t>
        <w:br/>
      </w:r>
      <w:r>
        <w:rPr>
          <w:rFonts w:ascii="Courier New" w:hAnsi="Courier New"/>
          <w:sz w:val="18"/>
        </w:rPr>
        <w:t>}</w:t>
        <w:br/>
      </w:r>
    </w:p>
    <w:p>
      <w:pPr>
        <w:pStyle w:val="Heading2"/>
      </w:pPr>
      <w:r>
        <w:rPr>
          <w:rFonts w:ascii="Calibri" w:hAnsi="Calibri"/>
        </w:rPr>
        <w:t>4.4 Extensions for implementation-specific metadata</w:t>
      </w:r>
    </w:p>
    <w:p>
      <w:pPr>
        <w:spacing w:after="120"/>
      </w:pPr>
      <w:r>
        <w:rPr>
          <w:rFonts w:ascii="Calibri" w:hAnsi="Calibri"/>
          <w:b w:val="0"/>
          <w:i w:val="0"/>
          <w:sz w:val="22"/>
        </w:rPr>
        <w:t>FHIR R5 defines the Extension mechanism as the standard way to add implementation-specific information to a FHIR resource without redefining or replacing any core datatype. See https://hl7.org/fhir/R5/extensibility.html and the examples page at https://hl7.org/fhir/R5/extensibility-examples.html. Extensions are governed by StructureDefinition resources that name the extension, declare its permitted context of use, and constrain its value type. The key design property of the Extension mechanism is that a receiver that does not understand a given extension can safely ignore it: extensions augment the resource but do not change how the core elements are to be interpreted.</w:t>
      </w:r>
    </w:p>
    <w:p>
      <w:pPr>
        <w:spacing w:before="120" w:after="40"/>
        <w:ind w:left="576" w:right="576"/>
      </w:pPr>
      <w:r>
        <w:rPr>
          <w:rFonts w:ascii="Calibri" w:hAnsi="Calibri"/>
          <w:i/>
          <w:sz w:val="20"/>
        </w:rPr>
        <w:t>“Every element in a resource or data type includes an optional “extension” child element that may be present any number of times. Extensions can be added to any element in a resource. Systems SHOULD ignore extensions they do not recognize, unless the extension has been flagged as a modifierExtension.”</w:t>
      </w:r>
    </w:p>
    <w:p>
      <w:pPr>
        <w:spacing w:after="160"/>
        <w:ind w:left="576"/>
      </w:pPr>
      <w:r>
        <w:rPr>
          <w:rFonts w:ascii="Calibri" w:hAnsi="Calibri"/>
          <w:i/>
          <w:sz w:val="18"/>
        </w:rPr>
        <w:t>— HL7 FHIR R5, Extensibility, https://hl7.org/fhir/R5/extensibility.html</w:t>
      </w:r>
    </w:p>
    <w:p>
      <w:pPr>
        <w:spacing w:after="120"/>
      </w:pPr>
      <w:r>
        <w:rPr>
          <w:rFonts w:ascii="Calibri" w:hAnsi="Calibri"/>
          <w:b/>
          <w:i w:val="0"/>
          <w:sz w:val="22"/>
        </w:rPr>
        <w:t>ChatHealthy design implementation:</w:t>
      </w:r>
    </w:p>
    <w:p>
      <w:pPr>
        <w:spacing w:after="120"/>
      </w:pPr>
      <w:r>
        <w:rPr>
          <w:rFonts w:ascii="Calibri" w:hAnsi="Calibri"/>
          <w:b w:val="0"/>
          <w:i w:val="0"/>
          <w:sz w:val="22"/>
        </w:rPr>
        <w:t>Fields the pattern adds to each taxonomies[] element are directly analogous to FHIR StructureDefinition Extensions. They augment the core coded datatype (analogous to Coding) without redefining what the core code, system, and display mean. The extension-analogous fields include:</w:t>
      </w:r>
    </w:p>
    <w:p>
      <w:pPr>
        <w:pStyle w:val="ListBullet"/>
        <w:spacing w:after="60"/>
        <w:ind w:left="360"/>
      </w:pPr>
      <w:r/>
      <w:r>
        <w:rPr>
          <w:rFonts w:ascii="Calibri" w:hAnsi="Calibri"/>
          <w:sz w:val="22"/>
        </w:rPr>
        <w:t>taxonomy_role — the perspective this coding represents (reported | canonical_derived). Modeled as an extension because FHIR Coding does not have a native “role” property.</w:t>
      </w:r>
    </w:p>
    <w:p>
      <w:pPr>
        <w:pStyle w:val="ListBullet"/>
        <w:spacing w:after="60"/>
        <w:ind w:left="360"/>
      </w:pPr>
      <w:r/>
      <w:r>
        <w:rPr>
          <w:rFonts w:ascii="Calibri" w:hAnsi="Calibri"/>
          <w:sz w:val="22"/>
        </w:rPr>
        <w:t>reference_status — the taxonomy element's standing in the reference registry (current_reference | historical_reference | records_registry_only | locally_curated | unresolved | invalid_confirmed).</w:t>
      </w:r>
    </w:p>
    <w:p>
      <w:pPr>
        <w:pStyle w:val="ListBullet"/>
        <w:spacing w:after="60"/>
        <w:ind w:left="360"/>
      </w:pPr>
      <w:r/>
      <w:r>
        <w:rPr>
          <w:rFonts w:ascii="Calibri" w:hAnsi="Calibri"/>
          <w:sz w:val="22"/>
        </w:rPr>
        <w:t>taxonomy_authority — the authority that asserted the code onto the record (NPPES | NUCC | F105).</w:t>
      </w:r>
    </w:p>
    <w:p>
      <w:pPr>
        <w:pStyle w:val="ListBullet"/>
        <w:spacing w:after="60"/>
        <w:ind w:left="360"/>
      </w:pPr>
      <w:r/>
      <w:r>
        <w:rPr>
          <w:rFonts w:ascii="Calibri" w:hAnsi="Calibri"/>
          <w:sz w:val="22"/>
        </w:rPr>
        <w:t>metadata_source — which authority the accompanying label, grouping, and definition came from (NUCC:v261 | F105 | NUCC:v261 + F105).</w:t>
      </w:r>
    </w:p>
    <w:p>
      <w:pPr>
        <w:pStyle w:val="ListBullet"/>
        <w:spacing w:after="60"/>
        <w:ind w:left="360"/>
      </w:pPr>
      <w:r/>
      <w:r>
        <w:rPr>
          <w:rFonts w:ascii="Calibri" w:hAnsi="Calibri"/>
          <w:sz w:val="22"/>
        </w:rPr>
        <w:t>warning — a machine-readable warning code when the coding could not be resolved cleanly against current NUCC (code_not_in_current_nucc_v261, code_never_in_nucc, code_deprecated_in_nucc_v261, and so on).</w:t>
      </w:r>
    </w:p>
    <w:p>
      <w:pPr>
        <w:pStyle w:val="ListBullet"/>
        <w:spacing w:after="60"/>
        <w:ind w:left="360"/>
      </w:pPr>
      <w:r/>
      <w:r>
        <w:rPr>
          <w:rFonts w:ascii="Calibri" w:hAnsi="Calibri"/>
          <w:sz w:val="22"/>
        </w:rPr>
        <w:t>related_taxonomy — the mapping relationship block described in §4.3.</w:t>
      </w:r>
    </w:p>
    <w:p>
      <w:pPr>
        <w:spacing w:after="120"/>
      </w:pPr>
      <w:r>
        <w:rPr>
          <w:rFonts w:ascii="Calibri" w:hAnsi="Calibri"/>
          <w:b w:val="0"/>
          <w:i w:val="0"/>
          <w:sz w:val="22"/>
        </w:rPr>
        <w:t>Each of these fields is defined once (in the pipeline's normative provider record schema) and its permitted values are enumerated. Any downstream consumer that does not understand a given field can safely ignore it and still process the core code, system, and display without ambiguity, exactly per the FHIR extension contract.</w:t>
      </w:r>
    </w:p>
    <w:p>
      <w:pPr>
        <w:pStyle w:val="Heading2"/>
      </w:pPr>
      <w:r>
        <w:rPr>
          <w:rFonts w:ascii="Calibri" w:hAnsi="Calibri"/>
        </w:rPr>
        <w:t>4.5 Provenance</w:t>
      </w:r>
    </w:p>
    <w:p>
      <w:pPr>
        <w:spacing w:after="120"/>
      </w:pPr>
      <w:r>
        <w:rPr>
          <w:rFonts w:ascii="Calibri" w:hAnsi="Calibri"/>
          <w:b w:val="0"/>
          <w:i w:val="0"/>
          <w:sz w:val="22"/>
        </w:rPr>
        <w:t>FHIR R5 defines a dedicated Provenance resource at https://hl7.org/fhir/R5/provenance.html for recording the who, what, when, why, and how of any assertion in a FHIR resource. The specification frames Provenance as a first-class resource, not an afterthought:</w:t>
      </w:r>
    </w:p>
    <w:p>
      <w:pPr>
        <w:spacing w:before="120" w:after="40"/>
        <w:ind w:left="576" w:right="576"/>
      </w:pPr>
      <w:r>
        <w:rPr>
          <w:rFonts w:ascii="Calibri" w:hAnsi="Calibri"/>
          <w:i/>
          <w:sz w:val="20"/>
        </w:rPr>
        <w:t>“Provenance of a resource is a record that describes entities and processes involved in producing and delivering or otherwise influencing that resource. Provenance provides a critical foundation for assessing authenticity, enabling trust, and allowing reproducibility.”</w:t>
      </w:r>
    </w:p>
    <w:p>
      <w:pPr>
        <w:spacing w:after="160"/>
        <w:ind w:left="576"/>
      </w:pPr>
      <w:r>
        <w:rPr>
          <w:rFonts w:ascii="Calibri" w:hAnsi="Calibri"/>
          <w:i/>
          <w:sz w:val="18"/>
        </w:rPr>
        <w:t>— HL7 FHIR R5, Provenance, https://hl7.org/fhir/R5/provenance.html</w:t>
      </w:r>
    </w:p>
    <w:p>
      <w:pPr>
        <w:spacing w:after="120"/>
      </w:pPr>
      <w:r>
        <w:rPr>
          <w:rFonts w:ascii="Calibri" w:hAnsi="Calibri"/>
          <w:b w:val="0"/>
          <w:i w:val="0"/>
          <w:sz w:val="22"/>
        </w:rPr>
        <w:t>The Provenance resource carries fields including target (what was produced or influenced), recorded (when), agent (who), activity (what kind of act), and entity (what data went into producing the target). It is designed exactly for the terminology-repair context: recording that an assertion about a coded concept was made by a specific curation activity against specific inputs.</w:t>
      </w:r>
    </w:p>
    <w:p>
      <w:pPr>
        <w:spacing w:after="120"/>
      </w:pPr>
      <w:r>
        <w:rPr>
          <w:rFonts w:ascii="Calibri" w:hAnsi="Calibri"/>
          <w:b/>
          <w:i w:val="0"/>
          <w:sz w:val="22"/>
        </w:rPr>
        <w:t>ChatHealthy design implementation:</w:t>
      </w:r>
    </w:p>
    <w:p>
      <w:pPr>
        <w:spacing w:after="120"/>
      </w:pPr>
      <w:r>
        <w:rPr>
          <w:rFonts w:ascii="Calibri" w:hAnsi="Calibri"/>
          <w:b w:val="0"/>
          <w:i w:val="0"/>
          <w:sz w:val="22"/>
        </w:rPr>
        <w:t>Every F-105 catalog entry carries a provenance envelope that maps 1-1 onto the FHIR Provenance fields:</w:t>
      </w:r>
    </w:p>
    <w:p>
      <w:pPr>
        <w:pStyle w:val="ListBullet"/>
        <w:spacing w:after="60"/>
        <w:ind w:left="360"/>
      </w:pPr>
      <w:r/>
      <w:r>
        <w:rPr>
          <w:rFonts w:ascii="Calibri" w:hAnsi="Calibri"/>
          <w:sz w:val="22"/>
        </w:rPr>
        <w:t>metadata_source (FHIR: agent) — the authority responsible for the entry's content: NUCC:v261, F105, or NUCC:v261 + F105.</w:t>
      </w:r>
    </w:p>
    <w:p>
      <w:pPr>
        <w:pStyle w:val="ListBullet"/>
        <w:spacing w:after="60"/>
        <w:ind w:left="360"/>
      </w:pPr>
      <w:r/>
      <w:r>
        <w:rPr>
          <w:rFonts w:ascii="Calibri" w:hAnsi="Calibri"/>
          <w:sz w:val="22"/>
        </w:rPr>
        <w:t>evidence_type (FHIR: activity) — the class of curation activity that produced the entry: automated_import_from_nucc, manual_curation, approved_mapping, and so on.</w:t>
      </w:r>
    </w:p>
    <w:p>
      <w:pPr>
        <w:pStyle w:val="ListBullet"/>
        <w:spacing w:after="60"/>
        <w:ind w:left="360"/>
      </w:pPr>
      <w:r/>
      <w:r>
        <w:rPr>
          <w:rFonts w:ascii="Calibri" w:hAnsi="Calibri"/>
          <w:sz w:val="22"/>
        </w:rPr>
        <w:t>first_observed_reference_version (FHIR: entity) — the earliest NUCC version at which the pipeline observed the code on ingested NPPES data.</w:t>
      </w:r>
    </w:p>
    <w:p>
      <w:pPr>
        <w:pStyle w:val="ListBullet"/>
        <w:spacing w:after="60"/>
        <w:ind w:left="360"/>
      </w:pPr>
      <w:r/>
      <w:r>
        <w:rPr>
          <w:rFonts w:ascii="Calibri" w:hAnsi="Calibri"/>
          <w:sz w:val="22"/>
        </w:rPr>
        <w:t>last_verified_reference_version (FHIR: entity) — the latest NUCC version against which the entry was verified. On every NUCC release the pattern re-runs verification and updates this field, so “when was this last checked” is always answerable.</w:t>
      </w:r>
    </w:p>
    <w:p>
      <w:pPr>
        <w:pStyle w:val="ListBullet"/>
        <w:spacing w:after="60"/>
        <w:ind w:left="360"/>
      </w:pPr>
      <w:r/>
      <w:r>
        <w:rPr>
          <w:rFonts w:ascii="Calibri" w:hAnsi="Calibri"/>
          <w:sz w:val="22"/>
        </w:rPr>
        <w:t>curation_status (FHIR: reason / activity) — approved | draft | rejected. Only approved entries are loaded by the runtime.</w:t>
      </w:r>
    </w:p>
    <w:p>
      <w:pPr>
        <w:pStyle w:val="ListBullet"/>
        <w:spacing w:after="60"/>
        <w:ind w:left="360"/>
      </w:pPr>
      <w:r/>
      <w:r>
        <w:rPr>
          <w:rFonts w:ascii="Calibri" w:hAnsi="Calibri"/>
          <w:sz w:val="22"/>
        </w:rPr>
        <w:t>catalog_version (FHIR: recorded + entity) — the F-105 catalog version identifier under which the entry took effect.</w:t>
      </w:r>
    </w:p>
    <w:p>
      <w:pPr>
        <w:pStyle w:val="ListBullet"/>
        <w:spacing w:after="60"/>
        <w:ind w:left="360"/>
      </w:pPr>
      <w:r/>
      <w:r>
        <w:rPr>
          <w:rFonts w:ascii="Calibri" w:hAnsi="Calibri"/>
          <w:sz w:val="22"/>
        </w:rPr>
        <w:t>curation_notes (FHIR: agent + reason) — free-text explanation of the curator's reasoning, including specifically the source cited (NPPES description, NUCC nearest code, professional definition consulted).</w:t>
      </w:r>
    </w:p>
    <w:p>
      <w:pPr>
        <w:spacing w:after="120"/>
      </w:pPr>
      <w:r>
        <w:rPr>
          <w:rFonts w:ascii="Calibri" w:hAnsi="Calibri"/>
          <w:b w:val="0"/>
          <w:i w:val="0"/>
          <w:sz w:val="22"/>
        </w:rPr>
        <w:t>At the record level, the enriched provider record carries an enrichment_provenance element identifying the NUCC version and F-105 catalog version consulted at enrichment time, so any assertion on the record can be reproduced by re-running enrichment against the same pair of versions.</w:t>
      </w:r>
    </w:p>
    <w:p>
      <w:pPr>
        <w:spacing w:after="120" w:before="80"/>
        <w:ind w:left="360"/>
        <w:shd w:val="clear" w:color="auto" w:fill="F2F2F2"/>
      </w:pPr>
      <w:r>
        <w:rPr>
          <w:rFonts w:ascii="Courier New" w:hAnsi="Courier New"/>
          <w:sz w:val="18"/>
        </w:rPr>
        <w:t>// enrichment_provenance element on the enriched provider record.</w:t>
        <w:br/>
      </w:r>
      <w:r>
        <w:rPr>
          <w:rFonts w:ascii="Courier New" w:hAnsi="Courier New"/>
          <w:sz w:val="18"/>
        </w:rPr>
        <w:t>"enrichment_provenance": {</w:t>
        <w:br/>
      </w:r>
      <w:r>
        <w:rPr>
          <w:rFonts w:ascii="Courier New" w:hAnsi="Courier New"/>
          <w:sz w:val="18"/>
        </w:rPr>
        <w:t xml:space="preserve">  "enriched_at": "2026-08-01T05:14:22Z",</w:t>
        <w:br/>
      </w:r>
      <w:r>
        <w:rPr>
          <w:rFonts w:ascii="Courier New" w:hAnsi="Courier New"/>
          <w:sz w:val="18"/>
        </w:rPr>
        <w:t xml:space="preserve">  "reference_registry_authority": "NUCC",</w:t>
        <w:br/>
      </w:r>
      <w:r>
        <w:rPr>
          <w:rFonts w:ascii="Courier New" w:hAnsi="Courier New"/>
          <w:sz w:val="18"/>
        </w:rPr>
        <w:t xml:space="preserve">  "reference_registry_version": "v261",</w:t>
        <w:br/>
      </w:r>
      <w:r>
        <w:rPr>
          <w:rFonts w:ascii="Courier New" w:hAnsi="Courier New"/>
          <w:sz w:val="18"/>
        </w:rPr>
        <w:t xml:space="preserve">  "reference_registry_effective_date": "2026-07-01",</w:t>
        <w:br/>
      </w:r>
      <w:r>
        <w:rPr>
          <w:rFonts w:ascii="Courier New" w:hAnsi="Courier New"/>
          <w:sz w:val="18"/>
        </w:rPr>
        <w:t xml:space="preserve">  "records_registry_authority": "NPPES",</w:t>
        <w:br/>
      </w:r>
      <w:r>
        <w:rPr>
          <w:rFonts w:ascii="Courier New" w:hAnsi="Courier New"/>
          <w:sz w:val="18"/>
        </w:rPr>
        <w:t xml:space="preserve">  "records_registry_snapshot_version": "2026-07-dissemination",</w:t>
        <w:br/>
      </w:r>
      <w:r>
        <w:rPr>
          <w:rFonts w:ascii="Courier New" w:hAnsi="Courier New"/>
          <w:sz w:val="18"/>
        </w:rPr>
        <w:t xml:space="preserve">  "proprietary_catalog": "F105",</w:t>
        <w:br/>
      </w:r>
      <w:r>
        <w:rPr>
          <w:rFonts w:ascii="Courier New" w:hAnsi="Courier New"/>
          <w:sz w:val="18"/>
        </w:rPr>
        <w:t xml:space="preserve">  "proprietary_catalog_version": "F105:2026-08-01",</w:t>
        <w:br/>
      </w:r>
      <w:r>
        <w:rPr>
          <w:rFonts w:ascii="Courier New" w:hAnsi="Courier New"/>
          <w:sz w:val="18"/>
        </w:rPr>
        <w:t xml:space="preserve">  "pipeline_version": "v3",</w:t>
        <w:br/>
      </w:r>
      <w:r>
        <w:rPr>
          <w:rFonts w:ascii="Courier New" w:hAnsi="Courier New"/>
          <w:sz w:val="18"/>
        </w:rPr>
        <w:t xml:space="preserve">  "enrichment_run_id": "run-2026-08-01T05:14:22Z-a91f"</w:t>
        <w:br/>
      </w:r>
      <w:r>
        <w:rPr>
          <w:rFonts w:ascii="Courier New" w:hAnsi="Courier New"/>
          <w:sz w:val="18"/>
        </w:rPr>
        <w:t>}</w:t>
        <w:br/>
      </w:r>
    </w:p>
    <w:p>
      <w:pPr>
        <w:pStyle w:val="Heading2"/>
      </w:pPr>
      <w:r>
        <w:rPr>
          <w:rFonts w:ascii="Calibri" w:hAnsi="Calibri"/>
        </w:rPr>
        <w:t>4.6 Version-aware terminology</w:t>
      </w:r>
    </w:p>
    <w:p>
      <w:pPr>
        <w:spacing w:after="120"/>
      </w:pPr>
      <w:r>
        <w:rPr>
          <w:rFonts w:ascii="Calibri" w:hAnsi="Calibri"/>
          <w:b w:val="0"/>
          <w:i w:val="0"/>
          <w:sz w:val="22"/>
        </w:rPr>
        <w:t>FHIR R5's Coding datatype (https://hl7.org/fhir/R5/datatypes.html#Coding) carries an explicit “version” element that identifies the version of the code system in which the code was defined. The CodeSystem resource itself (https://hl7.org/fhir/R5/codesystem.html) carries a version element identifying the business version of the code system. This is not incidental; FHIR explicitly designs terminology to be version-aware because code systems evolve and the same code string can have different meaning or membership in different versions.</w:t>
      </w:r>
    </w:p>
    <w:p>
      <w:pPr>
        <w:spacing w:before="120" w:after="40"/>
        <w:ind w:left="576" w:right="576"/>
      </w:pPr>
      <w:r>
        <w:rPr>
          <w:rFonts w:ascii="Calibri" w:hAnsi="Calibri"/>
          <w:i/>
          <w:sz w:val="20"/>
        </w:rPr>
        <w:t>“The version of the code system which was used when choosing this code. Note that a well-maintained code system does not need the version reported, because the meaning of codes is consistent across versions. However this cannot consistently be assured, and when the meaning is not guaranteed to be consistent, the version SHOULD be exchanged.”</w:t>
      </w:r>
    </w:p>
    <w:p>
      <w:pPr>
        <w:spacing w:after="160"/>
        <w:ind w:left="576"/>
      </w:pPr>
      <w:r>
        <w:rPr>
          <w:rFonts w:ascii="Calibri" w:hAnsi="Calibri"/>
          <w:i/>
          <w:sz w:val="18"/>
        </w:rPr>
        <w:t>— HL7 FHIR R5, Coding, https://hl7.org/fhir/R5/datatypes.html#Coding</w:t>
      </w:r>
    </w:p>
    <w:p>
      <w:pPr>
        <w:spacing w:after="120"/>
      </w:pPr>
      <w:r>
        <w:rPr>
          <w:rFonts w:ascii="Calibri" w:hAnsi="Calibri"/>
          <w:b/>
          <w:i w:val="0"/>
          <w:sz w:val="22"/>
        </w:rPr>
        <w:t>ChatHealthy design implementation:</w:t>
      </w:r>
    </w:p>
    <w:p>
      <w:pPr>
        <w:spacing w:after="120"/>
      </w:pPr>
      <w:r>
        <w:rPr>
          <w:rFonts w:ascii="Calibri" w:hAnsi="Calibri"/>
          <w:b w:val="0"/>
          <w:i w:val="0"/>
          <w:sz w:val="22"/>
        </w:rPr>
        <w:t>The NUCC Health Care Provider Taxonomy is precisely the sort of code system whose “meaning cannot consistently be assured across versions” for the drifted subset: retired codes exist in older versions and not in the current one. The pattern therefore records the NUCC version explicitly at every enrichment run (see enrichment_provenance in §4.5), and records first- and last-verified NUCC versions on every F-105 entry. Consequences:</w:t>
      </w:r>
    </w:p>
    <w:p>
      <w:pPr>
        <w:pStyle w:val="ListBullet"/>
        <w:spacing w:after="60"/>
        <w:ind w:left="360"/>
      </w:pPr>
      <w:r/>
      <w:r>
        <w:rPr>
          <w:rFonts w:ascii="Calibri" w:hAnsi="Calibri"/>
          <w:sz w:val="22"/>
        </w:rPr>
        <w:t>An enrichment run is fully reproducible — given the NUCC version and the F-105 catalog version, the same NPPES input produces the same enriched output.</w:t>
      </w:r>
    </w:p>
    <w:p>
      <w:pPr>
        <w:pStyle w:val="ListBullet"/>
        <w:spacing w:after="60"/>
        <w:ind w:left="360"/>
      </w:pPr>
      <w:r/>
      <w:r>
        <w:rPr>
          <w:rFonts w:ascii="Calibri" w:hAnsi="Calibri"/>
          <w:sz w:val="22"/>
        </w:rPr>
        <w:t>The reference-release reconciliation process (§8) knows exactly which F-105 entries have been verified against the current NUCC version and which have not.</w:t>
      </w:r>
    </w:p>
    <w:p>
      <w:pPr>
        <w:pStyle w:val="ListBullet"/>
        <w:spacing w:after="60"/>
        <w:ind w:left="360"/>
      </w:pPr>
      <w:r/>
      <w:r>
        <w:rPr>
          <w:rFonts w:ascii="Calibri" w:hAnsi="Calibri"/>
          <w:sz w:val="22"/>
        </w:rPr>
        <w:t>Downstream consumers can decide whether a stale-verified F-105 entry is fit for their purpose (a rendering consumer typically accepts a one-cycle-stale entry; an audit consumer may require current-version verification).</w:t>
      </w:r>
    </w:p>
    <w:p>
      <w:pPr>
        <w:pStyle w:val="Heading2"/>
      </w:pPr>
      <w:r>
        <w:rPr>
          <w:rFonts w:ascii="Calibri" w:hAnsi="Calibri"/>
        </w:rPr>
        <w:t>4.7 Validation separation</w:t>
      </w:r>
    </w:p>
    <w:p>
      <w:pPr>
        <w:spacing w:after="120"/>
      </w:pPr>
      <w:r>
        <w:rPr>
          <w:rFonts w:ascii="Calibri" w:hAnsi="Calibri"/>
          <w:b w:val="0"/>
          <w:i w:val="0"/>
          <w:sz w:val="22"/>
        </w:rPr>
        <w:t>FHIR R5's validation model, described at https://hl7.org/fhir/R5/validation.html, distinguishes several classes of validation that are performed at different layers and against different kinds of rules:</w:t>
      </w:r>
    </w:p>
    <w:p>
      <w:pPr>
        <w:pStyle w:val="ListBullet"/>
        <w:spacing w:after="60"/>
        <w:ind w:left="360"/>
      </w:pPr>
      <w:r/>
      <w:r>
        <w:rPr>
          <w:rFonts w:ascii="Calibri" w:hAnsi="Calibri"/>
          <w:sz w:val="22"/>
        </w:rPr>
        <w:t>Structural validation — the resource has the required fields with the required datatypes.</w:t>
      </w:r>
    </w:p>
    <w:p>
      <w:pPr>
        <w:pStyle w:val="ListBullet"/>
        <w:spacing w:after="60"/>
        <w:ind w:left="360"/>
      </w:pPr>
      <w:r/>
      <w:r>
        <w:rPr>
          <w:rFonts w:ascii="Calibri" w:hAnsi="Calibri"/>
          <w:sz w:val="22"/>
        </w:rPr>
        <w:t>Cardinality validation — fields that must appear at least once appear at least once; fields that must not appear more than N times do not.</w:t>
      </w:r>
    </w:p>
    <w:p>
      <w:pPr>
        <w:pStyle w:val="ListBullet"/>
        <w:spacing w:after="60"/>
        <w:ind w:left="360"/>
      </w:pPr>
      <w:r/>
      <w:r>
        <w:rPr>
          <w:rFonts w:ascii="Calibri" w:hAnsi="Calibri"/>
          <w:sz w:val="22"/>
        </w:rPr>
        <w:t>Value-domain validation — primitive values satisfy their declared value set (e.g., a boolean is truly true or false, a date parses).</w:t>
      </w:r>
    </w:p>
    <w:p>
      <w:pPr>
        <w:pStyle w:val="ListBullet"/>
        <w:spacing w:after="60"/>
        <w:ind w:left="360"/>
      </w:pPr>
      <w:r/>
      <w:r>
        <w:rPr>
          <w:rFonts w:ascii="Calibri" w:hAnsi="Calibri"/>
          <w:sz w:val="22"/>
        </w:rPr>
        <w:t>Invariant validation — cross-field business rules encoded as invariants on the profile.</w:t>
      </w:r>
    </w:p>
    <w:p>
      <w:pPr>
        <w:pStyle w:val="ListBullet"/>
        <w:spacing w:after="60"/>
        <w:ind w:left="360"/>
      </w:pPr>
      <w:r/>
      <w:r>
        <w:rPr>
          <w:rFonts w:ascii="Calibri" w:hAnsi="Calibri"/>
          <w:sz w:val="22"/>
        </w:rPr>
        <w:t>Terminology-binding validation — a coded field's value is a member of the declared value set at the required binding strength (required | extensible | preferred | example).</w:t>
      </w:r>
    </w:p>
    <w:p>
      <w:pPr>
        <w:spacing w:after="120"/>
      </w:pPr>
      <w:r>
        <w:rPr>
          <w:rFonts w:ascii="Calibri" w:hAnsi="Calibri"/>
          <w:b w:val="0"/>
          <w:i w:val="0"/>
          <w:sz w:val="22"/>
        </w:rPr>
        <w:t>Critically, FHIR treats terminology-binding validation as a SEPARATE concern from structural validation. A resource can be structurally valid but terminology-noncompliant, and the two conditions are reported independently.</w:t>
      </w:r>
    </w:p>
    <w:p>
      <w:pPr>
        <w:spacing w:after="120"/>
      </w:pPr>
      <w:r>
        <w:rPr>
          <w:rFonts w:ascii="Calibri" w:hAnsi="Calibri"/>
          <w:b/>
          <w:i w:val="0"/>
          <w:sz w:val="22"/>
        </w:rPr>
        <w:t>ChatHealthy design implementation:</w:t>
      </w:r>
    </w:p>
    <w:p>
      <w:pPr>
        <w:spacing w:after="120"/>
      </w:pPr>
      <w:r>
        <w:rPr>
          <w:rFonts w:ascii="Calibri" w:hAnsi="Calibri"/>
          <w:b w:val="0"/>
          <w:i w:val="0"/>
          <w:sz w:val="22"/>
        </w:rPr>
        <w:t>The pipeline applies the same separation. Schema validation of the provider record enforces structural and cardinality rules and value-domain constraints on enums such as reference_status. Terminology validation is a distinct concern, performed by the flags enrichment step, and it produces record-level anomaly events (see §7) rather than schema-validation failures. A provider record with a terminology anomaly is still a structurally valid record; the anomaly is surfaced as data on the record (reference_status, warning) and as a structured observability event, but it does not cause artifact-level pipeline failure.</w:t>
      </w:r>
    </w:p>
    <w:p>
      <w:r>
        <w:br w:type="page"/>
      </w:r>
    </w:p>
    <w:p>
      <w:pPr>
        <w:pStyle w:val="Heading1"/>
      </w:pPr>
      <w:r>
        <w:rPr>
          <w:rFonts w:ascii="Calibri" w:hAnsi="Calibri"/>
        </w:rPr>
        <w:t>5. Applied Design — The Concrete ChatHealthy Implementation</w:t>
      </w:r>
    </w:p>
    <w:p>
      <w:pPr>
        <w:spacing w:after="120"/>
      </w:pPr>
      <w:r>
        <w:rPr>
          <w:rFonts w:ascii="Calibri" w:hAnsi="Calibri"/>
          <w:b w:val="0"/>
          <w:i w:val="0"/>
          <w:sz w:val="22"/>
        </w:rPr>
        <w:t>This section restates the design as concrete data shapes and runtime logic. Every element in this section is directly authorized by one or more of the FHIR R5 patterns cited in §4; those citations are the authority slip for the shapes described below.</w:t>
      </w:r>
    </w:p>
    <w:p>
      <w:pPr>
        <w:pStyle w:val="Heading2"/>
      </w:pPr>
      <w:r>
        <w:rPr>
          <w:rFonts w:ascii="Calibri" w:hAnsi="Calibri"/>
        </w:rPr>
        <w:t>5.1 F-105 catalog entry schema</w:t>
      </w:r>
    </w:p>
    <w:p>
      <w:pPr>
        <w:spacing w:after="120"/>
      </w:pPr>
      <w:r>
        <w:rPr>
          <w:rFonts w:ascii="Calibri" w:hAnsi="Calibri"/>
          <w:b w:val="0"/>
          <w:i w:val="0"/>
          <w:sz w:val="22"/>
        </w:rPr>
        <w:t>The F-105 catalog is the single source of truth for product-specific flags, approved repairs, and approved cross-code mappings. Each entry keys off a taxonomy code and carries the following canonical fields:</w:t>
      </w:r>
    </w:p>
    <w:p>
      <w:pPr>
        <w:spacing w:after="120" w:before="80"/>
        <w:ind w:left="360"/>
        <w:shd w:val="clear" w:color="auto" w:fill="F2F2F2"/>
      </w:pPr>
      <w:r>
        <w:rPr>
          <w:rFonts w:ascii="Courier New" w:hAnsi="Courier New"/>
          <w:sz w:val="18"/>
        </w:rPr>
        <w:t>{</w:t>
        <w:br/>
      </w:r>
      <w:r>
        <w:rPr>
          <w:rFonts w:ascii="Courier New" w:hAnsi="Courier New"/>
          <w:sz w:val="18"/>
        </w:rPr>
        <w:t xml:space="preserve">  "code": "&lt;NUCC taxonomy code string, e.g. 207Q00000X&gt;",</w:t>
        <w:br/>
      </w:r>
      <w:r>
        <w:rPr>
          <w:rFonts w:ascii="Courier New" w:hAnsi="Courier New"/>
          <w:sz w:val="18"/>
        </w:rPr>
        <w:br/>
      </w:r>
      <w:r>
        <w:rPr>
          <w:rFonts w:ascii="Courier New" w:hAnsi="Courier New"/>
          <w:sz w:val="18"/>
        </w:rPr>
        <w:t xml:space="preserve">  // Reference-registry standing of the code, per the six-value enum below.</w:t>
        <w:br/>
      </w:r>
      <w:r>
        <w:rPr>
          <w:rFonts w:ascii="Courier New" w:hAnsi="Courier New"/>
          <w:sz w:val="18"/>
        </w:rPr>
        <w:t xml:space="preserve">  "reference_status":</w:t>
        <w:br/>
      </w:r>
      <w:r>
        <w:rPr>
          <w:rFonts w:ascii="Courier New" w:hAnsi="Courier New"/>
          <w:sz w:val="18"/>
        </w:rPr>
        <w:t xml:space="preserve">     "current_reference"        // present in current NUCC and F-105 approved</w:t>
        <w:br/>
      </w:r>
      <w:r>
        <w:rPr>
          <w:rFonts w:ascii="Courier New" w:hAnsi="Courier New"/>
          <w:sz w:val="18"/>
        </w:rPr>
        <w:t xml:space="preserve">   | "historical_reference"     // present in prior NUCC, retired in current NUCC</w:t>
        <w:br/>
      </w:r>
      <w:r>
        <w:rPr>
          <w:rFonts w:ascii="Courier New" w:hAnsi="Courier New"/>
          <w:sz w:val="18"/>
        </w:rPr>
        <w:t xml:space="preserve">   | "records_registry_only"    // present in NPPES only, absent from every NUCC</w:t>
        <w:br/>
      </w:r>
      <w:r>
        <w:rPr>
          <w:rFonts w:ascii="Courier New" w:hAnsi="Courier New"/>
          <w:sz w:val="18"/>
        </w:rPr>
        <w:t xml:space="preserve">                                //   version we have on file</w:t>
        <w:br/>
      </w:r>
      <w:r>
        <w:rPr>
          <w:rFonts w:ascii="Courier New" w:hAnsi="Courier New"/>
          <w:sz w:val="18"/>
        </w:rPr>
        <w:t xml:space="preserve">   | "locally_curated"          // ChatHealthy-authored code with no upstream</w:t>
        <w:br/>
      </w:r>
      <w:r>
        <w:rPr>
          <w:rFonts w:ascii="Courier New" w:hAnsi="Courier New"/>
          <w:sz w:val="18"/>
        </w:rPr>
        <w:t xml:space="preserve">                                //   NUCC lineage (reserved; not used today)</w:t>
        <w:br/>
      </w:r>
      <w:r>
        <w:rPr>
          <w:rFonts w:ascii="Courier New" w:hAnsi="Courier New"/>
          <w:sz w:val="18"/>
        </w:rPr>
        <w:t xml:space="preserve">   | "unresolved"               // observed on NPPES; not yet triaged by curator</w:t>
        <w:br/>
      </w:r>
      <w:r>
        <w:rPr>
          <w:rFonts w:ascii="Courier New" w:hAnsi="Courier New"/>
          <w:sz w:val="18"/>
        </w:rPr>
        <w:t xml:space="preserve">   | "invalid_confirmed",       // curator has confirmed the code is a data-quality</w:t>
        <w:br/>
      </w:r>
      <w:r>
        <w:rPr>
          <w:rFonts w:ascii="Courier New" w:hAnsi="Courier New"/>
          <w:sz w:val="18"/>
        </w:rPr>
        <w:t xml:space="preserve">                                //   defect; never emit as canonical_derived</w:t>
        <w:br/>
      </w:r>
      <w:r>
        <w:rPr>
          <w:rFonts w:ascii="Courier New" w:hAnsi="Courier New"/>
          <w:sz w:val="18"/>
        </w:rPr>
        <w:br/>
      </w:r>
      <w:r>
        <w:rPr>
          <w:rFonts w:ascii="Courier New" w:hAnsi="Courier New"/>
          <w:sz w:val="18"/>
        </w:rPr>
        <w:t xml:space="preserve">  // Product-specific flags. Additive as product requirements evolve.</w:t>
        <w:br/>
      </w:r>
      <w:r>
        <w:rPr>
          <w:rFonts w:ascii="Courier New" w:hAnsi="Courier New"/>
          <w:sz w:val="18"/>
        </w:rPr>
        <w:t xml:space="preserve">  "flags": {</w:t>
        <w:br/>
      </w:r>
      <w:r>
        <w:rPr>
          <w:rFonts w:ascii="Courier New" w:hAnsi="Courier New"/>
          <w:sz w:val="18"/>
        </w:rPr>
        <w:t xml:space="preserve">     "can_prescribe": true | false,</w:t>
        <w:br/>
      </w:r>
      <w:r>
        <w:rPr>
          <w:rFonts w:ascii="Courier New" w:hAnsi="Courier New"/>
          <w:sz w:val="18"/>
        </w:rPr>
        <w:t xml:space="preserve">     "homeopathic":   true | false</w:t>
        <w:br/>
      </w:r>
      <w:r>
        <w:rPr>
          <w:rFonts w:ascii="Courier New" w:hAnsi="Courier New"/>
          <w:sz w:val="18"/>
        </w:rPr>
        <w:t xml:space="preserve">  },</w:t>
        <w:br/>
      </w:r>
      <w:r>
        <w:rPr>
          <w:rFonts w:ascii="Courier New" w:hAnsi="Courier New"/>
          <w:sz w:val="18"/>
        </w:rPr>
        <w:br/>
      </w:r>
      <w:r>
        <w:rPr>
          <w:rFonts w:ascii="Courier New" w:hAnsi="Courier New"/>
          <w:sz w:val="18"/>
        </w:rPr>
        <w:t xml:space="preserve">  // Curated presentation metadata used when reference_status is not</w:t>
        <w:br/>
      </w:r>
      <w:r>
        <w:rPr>
          <w:rFonts w:ascii="Courier New" w:hAnsi="Courier New"/>
          <w:sz w:val="18"/>
        </w:rPr>
        <w:t xml:space="preserve">  // "current_reference" (i.e. when NUCC does not itself carry the display).</w:t>
        <w:br/>
      </w:r>
      <w:r>
        <w:rPr>
          <w:rFonts w:ascii="Courier New" w:hAnsi="Courier New"/>
          <w:sz w:val="18"/>
        </w:rPr>
        <w:t xml:space="preserve">  "curated_display":   "&lt;curated human-readable label, optional&gt;",</w:t>
        <w:br/>
      </w:r>
      <w:r>
        <w:rPr>
          <w:rFonts w:ascii="Courier New" w:hAnsi="Courier New"/>
          <w:sz w:val="18"/>
        </w:rPr>
        <w:t xml:space="preserve">  "curated_grouping":  "&lt;curated grouping label, optional&gt;",</w:t>
        <w:br/>
      </w:r>
      <w:r>
        <w:rPr>
          <w:rFonts w:ascii="Courier New" w:hAnsi="Courier New"/>
          <w:sz w:val="18"/>
        </w:rPr>
        <w:br/>
      </w:r>
      <w:r>
        <w:rPr>
          <w:rFonts w:ascii="Courier New" w:hAnsi="Courier New"/>
          <w:sz w:val="18"/>
        </w:rPr>
        <w:t xml:space="preserve">  // Provenance envelope (§4.5).</w:t>
        <w:br/>
      </w:r>
      <w:r>
        <w:rPr>
          <w:rFonts w:ascii="Courier New" w:hAnsi="Courier New"/>
          <w:sz w:val="18"/>
        </w:rPr>
        <w:t xml:space="preserve">  "metadata_source":</w:t>
        <w:br/>
      </w:r>
      <w:r>
        <w:rPr>
          <w:rFonts w:ascii="Courier New" w:hAnsi="Courier New"/>
          <w:sz w:val="18"/>
        </w:rPr>
        <w:t xml:space="preserve">     "NUCC:v261" | "F105" | "NUCC:v261 + F105",</w:t>
        <w:br/>
      </w:r>
      <w:r>
        <w:rPr>
          <w:rFonts w:ascii="Courier New" w:hAnsi="Courier New"/>
          <w:sz w:val="18"/>
        </w:rPr>
        <w:t xml:space="preserve">  "evidence_type":</w:t>
        <w:br/>
      </w:r>
      <w:r>
        <w:rPr>
          <w:rFonts w:ascii="Courier New" w:hAnsi="Courier New"/>
          <w:sz w:val="18"/>
        </w:rPr>
        <w:t xml:space="preserve">     "automated_import_from_nucc"</w:t>
        <w:br/>
      </w:r>
      <w:r>
        <w:rPr>
          <w:rFonts w:ascii="Courier New" w:hAnsi="Courier New"/>
          <w:sz w:val="18"/>
        </w:rPr>
        <w:t xml:space="preserve">   | "manual_curation"</w:t>
        <w:br/>
      </w:r>
      <w:r>
        <w:rPr>
          <w:rFonts w:ascii="Courier New" w:hAnsi="Courier New"/>
          <w:sz w:val="18"/>
        </w:rPr>
        <w:t xml:space="preserve">   | "approved_mapping",</w:t>
        <w:br/>
      </w:r>
      <w:r>
        <w:rPr>
          <w:rFonts w:ascii="Courier New" w:hAnsi="Courier New"/>
          <w:sz w:val="18"/>
        </w:rPr>
        <w:t xml:space="preserve">  "first_observed_reference_version": "vNNN",</w:t>
        <w:br/>
      </w:r>
      <w:r>
        <w:rPr>
          <w:rFonts w:ascii="Courier New" w:hAnsi="Courier New"/>
          <w:sz w:val="18"/>
        </w:rPr>
        <w:t xml:space="preserve">  "last_verified_reference_version":  "vNNN",</w:t>
        <w:br/>
      </w:r>
      <w:r>
        <w:rPr>
          <w:rFonts w:ascii="Courier New" w:hAnsi="Courier New"/>
          <w:sz w:val="18"/>
        </w:rPr>
        <w:t xml:space="preserve">  "curation_status": "approved" | "draft" | "rejected",</w:t>
        <w:br/>
      </w:r>
      <w:r>
        <w:rPr>
          <w:rFonts w:ascii="Courier New" w:hAnsi="Courier New"/>
          <w:sz w:val="18"/>
        </w:rPr>
        <w:t xml:space="preserve">  "catalog_version": "F105:2026-08-01",</w:t>
        <w:br/>
      </w:r>
      <w:r>
        <w:rPr>
          <w:rFonts w:ascii="Courier New" w:hAnsi="Courier New"/>
          <w:sz w:val="18"/>
        </w:rPr>
        <w:t xml:space="preserve">  "curation_notes":  "&lt;free-text curator note citing the source consulted&gt;",</w:t>
        <w:br/>
      </w:r>
      <w:r>
        <w:rPr>
          <w:rFonts w:ascii="Courier New" w:hAnsi="Courier New"/>
          <w:sz w:val="18"/>
        </w:rPr>
        <w:br/>
      </w:r>
      <w:r>
        <w:rPr>
          <w:rFonts w:ascii="Courier New" w:hAnsi="Courier New"/>
          <w:sz w:val="18"/>
        </w:rPr>
        <w:t xml:space="preserve">  // Optional embedded mapping (§4.3), used when the entry is one end of an</w:t>
        <w:br/>
      </w:r>
      <w:r>
        <w:rPr>
          <w:rFonts w:ascii="Courier New" w:hAnsi="Courier New"/>
          <w:sz w:val="18"/>
        </w:rPr>
        <w:t xml:space="preserve">  // approved F-105 mapping. Either source or target may be current NUCC.</w:t>
        <w:br/>
      </w:r>
      <w:r>
        <w:rPr>
          <w:rFonts w:ascii="Courier New" w:hAnsi="Courier New"/>
          <w:sz w:val="18"/>
        </w:rPr>
        <w:t xml:space="preserve">  "related_taxonomies": [</w:t>
        <w:br/>
      </w:r>
      <w:r>
        <w:rPr>
          <w:rFonts w:ascii="Courier New" w:hAnsi="Courier New"/>
          <w:sz w:val="18"/>
        </w:rPr>
        <w:t xml:space="preserve">    {</w:t>
        <w:br/>
      </w:r>
      <w:r>
        <w:rPr>
          <w:rFonts w:ascii="Courier New" w:hAnsi="Courier New"/>
          <w:sz w:val="18"/>
        </w:rPr>
        <w:t xml:space="preserve">      "target_code":   "246ZS0410X",</w:t>
        <w:br/>
      </w:r>
      <w:r>
        <w:rPr>
          <w:rFonts w:ascii="Courier New" w:hAnsi="Courier New"/>
          <w:sz w:val="18"/>
        </w:rPr>
        <w:t xml:space="preserve">      "target_system": "http://nucc.org/provider-taxonomy",</w:t>
        <w:br/>
      </w:r>
      <w:r>
        <w:rPr>
          <w:rFonts w:ascii="Courier New" w:hAnsi="Courier New"/>
          <w:sz w:val="18"/>
        </w:rPr>
        <w:t xml:space="preserve">      "relationship":  "possibly-equivalent-to" | "related-to"</w:t>
        <w:br/>
      </w:r>
      <w:r>
        <w:rPr>
          <w:rFonts w:ascii="Courier New" w:hAnsi="Courier New"/>
          <w:sz w:val="18"/>
        </w:rPr>
        <w:t xml:space="preserve">                     | "equivalent" | "source-is-narrower-than-target"</w:t>
        <w:br/>
      </w:r>
      <w:r>
        <w:rPr>
          <w:rFonts w:ascii="Courier New" w:hAnsi="Courier New"/>
          <w:sz w:val="18"/>
        </w:rPr>
        <w:t xml:space="preserve">                     | "source-is-broader-than-target",</w:t>
        <w:br/>
      </w:r>
      <w:r>
        <w:rPr>
          <w:rFonts w:ascii="Courier New" w:hAnsi="Courier New"/>
          <w:sz w:val="18"/>
        </w:rPr>
        <w:t xml:space="preserve">      "mapping_source":         "F105",</w:t>
        <w:br/>
      </w:r>
      <w:r>
        <w:rPr>
          <w:rFonts w:ascii="Courier New" w:hAnsi="Courier New"/>
          <w:sz w:val="18"/>
        </w:rPr>
        <w:t xml:space="preserve">      "mapping_source_version": "F105:2026-08-01",</w:t>
        <w:br/>
      </w:r>
      <w:r>
        <w:rPr>
          <w:rFonts w:ascii="Courier New" w:hAnsi="Courier New"/>
          <w:sz w:val="18"/>
        </w:rPr>
        <w:t xml:space="preserve">      "curation_status":        "approved"</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pStyle w:val="Heading3"/>
      </w:pPr>
      <w:r>
        <w:rPr>
          <w:rFonts w:ascii="Calibri" w:hAnsi="Calibri"/>
        </w:rPr>
        <w:t>5.1.1 reference_status — value semantics</w:t>
      </w:r>
    </w:p>
    <w:p>
      <w:pPr>
        <w:spacing w:after="120"/>
      </w:pPr>
      <w:r>
        <w:rPr>
          <w:rFonts w:ascii="Calibri" w:hAnsi="Calibri"/>
          <w:b w:val="0"/>
          <w:i w:val="0"/>
          <w:sz w:val="22"/>
        </w:rPr>
        <w:t>The reference_status enum is the single most consequential field in the F-105 entry. Every value has a defined semantic and a defined downstream implication:</w:t>
      </w:r>
    </w:p>
    <w:p>
      <w:pPr>
        <w:pStyle w:val="ListBullet"/>
        <w:spacing w:after="60"/>
        <w:ind w:left="360"/>
      </w:pPr>
      <w:r/>
      <w:r>
        <w:rPr>
          <w:rFonts w:ascii="Calibri" w:hAnsi="Calibri"/>
          <w:sz w:val="22"/>
        </w:rPr>
        <w:t>current_reference — the code is present in the current NUCC version. Display metadata SHOULD come from NUCC; F-105 provides only the product-specific flags. This is the modal state for the ~800 codes in the catalog today.</w:t>
      </w:r>
    </w:p>
    <w:p>
      <w:pPr>
        <w:pStyle w:val="ListBullet"/>
        <w:spacing w:after="60"/>
        <w:ind w:left="360"/>
      </w:pPr>
      <w:r/>
      <w:r>
        <w:rPr>
          <w:rFonts w:ascii="Calibri" w:hAnsi="Calibri"/>
          <w:sz w:val="22"/>
        </w:rPr>
        <w:t>historical_reference — the code was present in a prior NUCC version but is not present in the current NUCC version. F-105 carries the last-known display/grouping snapshot as curated_display/curated_grouping and provides the flags. Typical origin: NUCC retired the code between versions.</w:t>
      </w:r>
    </w:p>
    <w:p>
      <w:pPr>
        <w:pStyle w:val="ListBullet"/>
        <w:spacing w:after="60"/>
        <w:ind w:left="360"/>
      </w:pPr>
      <w:r/>
      <w:r>
        <w:rPr>
          <w:rFonts w:ascii="Calibri" w:hAnsi="Calibri"/>
          <w:sz w:val="22"/>
        </w:rPr>
        <w:t>records_registry_only — the code is present in NPPES records but not present in any NUCC version on file (either never published or predates ChatHealthy's version history). F-105 carries curator-authored display/grouping if any, and the flags. This is the classification 246ZS0400X carries today.</w:t>
      </w:r>
    </w:p>
    <w:p>
      <w:pPr>
        <w:pStyle w:val="ListBullet"/>
        <w:spacing w:after="60"/>
        <w:ind w:left="360"/>
      </w:pPr>
      <w:r/>
      <w:r>
        <w:rPr>
          <w:rFonts w:ascii="Calibri" w:hAnsi="Calibri"/>
          <w:sz w:val="22"/>
        </w:rPr>
        <w:t>locally_curated — the code is a ChatHealthy-authored operational concept with no upstream NUCC lineage. Reserved; not used today. Requires operator approval to introduce.</w:t>
      </w:r>
    </w:p>
    <w:p>
      <w:pPr>
        <w:pStyle w:val="ListBullet"/>
        <w:spacing w:after="60"/>
        <w:ind w:left="360"/>
      </w:pPr>
      <w:r/>
      <w:r>
        <w:rPr>
          <w:rFonts w:ascii="Calibri" w:hAnsi="Calibri"/>
          <w:sz w:val="22"/>
        </w:rPr>
        <w:t>unresolved — the code has been observed on NPPES ingest but has not yet been triaged by a curator. Downstream MUST treat as an unresolved anomaly (§7). Flags MUST NOT be defaulted for unresolved entries.</w:t>
      </w:r>
    </w:p>
    <w:p>
      <w:pPr>
        <w:pStyle w:val="ListBullet"/>
        <w:spacing w:after="60"/>
        <w:ind w:left="360"/>
      </w:pPr>
      <w:r/>
      <w:r>
        <w:rPr>
          <w:rFonts w:ascii="Calibri" w:hAnsi="Calibri"/>
          <w:sz w:val="22"/>
        </w:rPr>
        <w:t>invalid_confirmed — the curator has confirmed the code is a data-quality defect (transcription typo, private extension, corrupted value). The code MUST NOT be surfaced as canonical_derived; the reported element is preserved verbatim with a warning.</w:t>
      </w:r>
    </w:p>
    <w:p>
      <w:pPr>
        <w:pStyle w:val="Heading2"/>
      </w:pPr>
      <w:r>
        <w:rPr>
          <w:rFonts w:ascii="Calibri" w:hAnsi="Calibri"/>
        </w:rPr>
        <w:t>5.2 Provider record taxonomies[] element shape</w:t>
      </w:r>
    </w:p>
    <w:p>
      <w:pPr>
        <w:spacing w:after="120"/>
      </w:pPr>
      <w:r>
        <w:rPr>
          <w:rFonts w:ascii="Calibri" w:hAnsi="Calibri"/>
          <w:b w:val="0"/>
          <w:i w:val="0"/>
          <w:sz w:val="22"/>
        </w:rPr>
        <w:t>The enriched provider record replaces any singular primary_taxonomy_code field with a taxonomies[] array of one or more coded elements. Every element in the array is a full coding in the CodeableConcept-multiple-codings sense (§4.1). The canonical element shape is:</w:t>
      </w:r>
    </w:p>
    <w:p>
      <w:pPr>
        <w:spacing w:after="120" w:before="80"/>
        <w:ind w:left="360"/>
        <w:shd w:val="clear" w:color="auto" w:fill="F2F2F2"/>
      </w:pPr>
      <w:r>
        <w:rPr>
          <w:rFonts w:ascii="Courier New" w:hAnsi="Courier New"/>
          <w:sz w:val="18"/>
        </w:rPr>
        <w:t>{</w:t>
        <w:br/>
      </w:r>
      <w:r>
        <w:rPr>
          <w:rFonts w:ascii="Courier New" w:hAnsi="Courier New"/>
          <w:sz w:val="18"/>
        </w:rPr>
        <w:t xml:space="preserve">  // The coding itself (FHIR Coding-analogous).</w:t>
        <w:br/>
      </w:r>
      <w:r>
        <w:rPr>
          <w:rFonts w:ascii="Courier New" w:hAnsi="Courier New"/>
          <w:sz w:val="18"/>
        </w:rPr>
        <w:t xml:space="preserve">  "role":     "reported" | "canonical_derived",</w:t>
        <w:br/>
      </w:r>
      <w:r>
        <w:rPr>
          <w:rFonts w:ascii="Courier New" w:hAnsi="Courier New"/>
          <w:sz w:val="18"/>
        </w:rPr>
        <w:t xml:space="preserve">  "code":     "&lt;NUCC taxonomy code string&gt;",</w:t>
        <w:br/>
      </w:r>
      <w:r>
        <w:rPr>
          <w:rFonts w:ascii="Courier New" w:hAnsi="Courier New"/>
          <w:sz w:val="18"/>
        </w:rPr>
        <w:t xml:space="preserve">  "system":   "http://nucc.org/provider-taxonomy",</w:t>
        <w:br/>
      </w:r>
      <w:r>
        <w:rPr>
          <w:rFonts w:ascii="Courier New" w:hAnsi="Courier New"/>
          <w:sz w:val="18"/>
        </w:rPr>
        <w:t xml:space="preserve">  "display":  "&lt;human-readable label&gt;",</w:t>
        <w:br/>
      </w:r>
      <w:r>
        <w:rPr>
          <w:rFonts w:ascii="Courier New" w:hAnsi="Courier New"/>
          <w:sz w:val="18"/>
        </w:rPr>
        <w:br/>
      </w:r>
      <w:r>
        <w:rPr>
          <w:rFonts w:ascii="Courier New" w:hAnsi="Courier New"/>
          <w:sz w:val="18"/>
        </w:rPr>
        <w:t xml:space="preserve">  // Extensions (§4.4).</w:t>
        <w:br/>
      </w:r>
      <w:r>
        <w:rPr>
          <w:rFonts w:ascii="Courier New" w:hAnsi="Courier New"/>
          <w:sz w:val="18"/>
        </w:rPr>
        <w:t xml:space="preserve">  "taxonomy_authority": "NPPES" | "NUCC" | "F105",</w:t>
        <w:br/>
      </w:r>
      <w:r>
        <w:rPr>
          <w:rFonts w:ascii="Courier New" w:hAnsi="Courier New"/>
          <w:sz w:val="18"/>
        </w:rPr>
        <w:t xml:space="preserve">  "reference_status":   "&lt;same six-value enum as F-105&gt;",</w:t>
        <w:br/>
      </w:r>
      <w:r>
        <w:rPr>
          <w:rFonts w:ascii="Courier New" w:hAnsi="Courier New"/>
          <w:sz w:val="18"/>
        </w:rPr>
        <w:t xml:space="preserve">  "metadata_source":    "NUCC:v261" | "F105" | "NUCC:v261 + F105",</w:t>
        <w:br/>
      </w:r>
      <w:r>
        <w:rPr>
          <w:rFonts w:ascii="Courier New" w:hAnsi="Courier New"/>
          <w:sz w:val="18"/>
        </w:rPr>
        <w:t xml:space="preserve">  "metadata_source_version": "F105:2026-08-01",</w:t>
        <w:br/>
      </w:r>
      <w:r>
        <w:rPr>
          <w:rFonts w:ascii="Courier New" w:hAnsi="Courier New"/>
          <w:sz w:val="18"/>
        </w:rPr>
        <w:br/>
      </w:r>
      <w:r>
        <w:rPr>
          <w:rFonts w:ascii="Courier New" w:hAnsi="Courier New"/>
          <w:sz w:val="18"/>
        </w:rPr>
        <w:t xml:space="preserve">  // Optional machine-readable warning when the coding could not be resolved</w:t>
        <w:br/>
      </w:r>
      <w:r>
        <w:rPr>
          <w:rFonts w:ascii="Courier New" w:hAnsi="Courier New"/>
          <w:sz w:val="18"/>
        </w:rPr>
        <w:t xml:space="preserve">  // cleanly against current NUCC.</w:t>
        <w:br/>
      </w:r>
      <w:r>
        <w:rPr>
          <w:rFonts w:ascii="Courier New" w:hAnsi="Courier New"/>
          <w:sz w:val="18"/>
        </w:rPr>
        <w:t xml:space="preserve">  "warning": "code_not_in_current_nucc_v261"</w:t>
        <w:br/>
      </w:r>
      <w:r>
        <w:rPr>
          <w:rFonts w:ascii="Courier New" w:hAnsi="Courier New"/>
          <w:sz w:val="18"/>
        </w:rPr>
        <w:t xml:space="preserve">           | "code_never_in_nucc"</w:t>
        <w:br/>
      </w:r>
      <w:r>
        <w:rPr>
          <w:rFonts w:ascii="Courier New" w:hAnsi="Courier New"/>
          <w:sz w:val="18"/>
        </w:rPr>
        <w:t xml:space="preserve">           | "code_deprecated_in_nucc_v261"</w:t>
        <w:br/>
      </w:r>
      <w:r>
        <w:rPr>
          <w:rFonts w:ascii="Courier New" w:hAnsi="Courier New"/>
          <w:sz w:val="18"/>
        </w:rPr>
        <w:t xml:space="preserve">           | "code_flagged_invalid_by_curator",</w:t>
        <w:br/>
      </w:r>
      <w:r>
        <w:rPr>
          <w:rFonts w:ascii="Courier New" w:hAnsi="Courier New"/>
          <w:sz w:val="18"/>
        </w:rPr>
        <w:br/>
      </w:r>
      <w:r>
        <w:rPr>
          <w:rFonts w:ascii="Courier New" w:hAnsi="Courier New"/>
          <w:sz w:val="18"/>
        </w:rPr>
        <w:t xml:space="preserve">  // Denormalized product flags for THIS coding, if the F-105 catalog supplies</w:t>
        <w:br/>
      </w:r>
      <w:r>
        <w:rPr>
          <w:rFonts w:ascii="Courier New" w:hAnsi="Courier New"/>
          <w:sz w:val="18"/>
        </w:rPr>
        <w:t xml:space="preserve">  // them. Present on both reported and canonical_derived roles when available.</w:t>
        <w:br/>
      </w:r>
      <w:r>
        <w:rPr>
          <w:rFonts w:ascii="Courier New" w:hAnsi="Courier New"/>
          <w:sz w:val="18"/>
        </w:rPr>
        <w:t xml:space="preserve">  "flags": { "can_prescribe": true|false, "homeopathic": true|false },</w:t>
        <w:br/>
      </w:r>
      <w:r>
        <w:rPr>
          <w:rFonts w:ascii="Courier New" w:hAnsi="Courier New"/>
          <w:sz w:val="18"/>
        </w:rPr>
        <w:t xml:space="preserve">  "flags_source": "F105:2026-08-01",</w:t>
        <w:br/>
      </w:r>
      <w:r>
        <w:rPr>
          <w:rFonts w:ascii="Courier New" w:hAnsi="Courier New"/>
          <w:sz w:val="18"/>
        </w:rPr>
        <w:br/>
      </w:r>
      <w:r>
        <w:rPr>
          <w:rFonts w:ascii="Courier New" w:hAnsi="Courier New"/>
          <w:sz w:val="18"/>
        </w:rPr>
        <w:t xml:space="preserve">  // ConceptMap-analogous relationship block (§4.3), present ONLY on</w:t>
        <w:br/>
      </w:r>
      <w:r>
        <w:rPr>
          <w:rFonts w:ascii="Courier New" w:hAnsi="Courier New"/>
          <w:sz w:val="18"/>
        </w:rPr>
        <w:t xml:space="preserve">  // canonical_derived elements.</w:t>
        <w:br/>
      </w:r>
      <w:r>
        <w:rPr>
          <w:rFonts w:ascii="Courier New" w:hAnsi="Courier New"/>
          <w:sz w:val="18"/>
        </w:rPr>
        <w:t xml:space="preserve">  "related_taxonomy": {</w:t>
        <w:br/>
      </w:r>
      <w:r>
        <w:rPr>
          <w:rFonts w:ascii="Courier New" w:hAnsi="Courier New"/>
          <w:sz w:val="18"/>
        </w:rPr>
        <w:t xml:space="preserve">    "target_role":            "reported",</w:t>
        <w:br/>
      </w:r>
      <w:r>
        <w:rPr>
          <w:rFonts w:ascii="Courier New" w:hAnsi="Courier New"/>
          <w:sz w:val="18"/>
        </w:rPr>
        <w:t xml:space="preserve">    "target_code":            "246ZS0400X",</w:t>
        <w:br/>
      </w:r>
      <w:r>
        <w:rPr>
          <w:rFonts w:ascii="Courier New" w:hAnsi="Courier New"/>
          <w:sz w:val="18"/>
        </w:rPr>
        <w:t xml:space="preserve">    "relationship":           "possibly-equivalent-to",</w:t>
        <w:br/>
      </w:r>
      <w:r>
        <w:rPr>
          <w:rFonts w:ascii="Courier New" w:hAnsi="Courier New"/>
          <w:sz w:val="18"/>
        </w:rPr>
        <w:t xml:space="preserve">    "mapping_source":         "F105",</w:t>
        <w:br/>
      </w:r>
      <w:r>
        <w:rPr>
          <w:rFonts w:ascii="Courier New" w:hAnsi="Courier New"/>
          <w:sz w:val="18"/>
        </w:rPr>
        <w:t xml:space="preserve">    "mapping_source_version": "F105:2026-08-01",</w:t>
        <w:br/>
      </w:r>
      <w:r>
        <w:rPr>
          <w:rFonts w:ascii="Courier New" w:hAnsi="Courier New"/>
          <w:sz w:val="18"/>
        </w:rPr>
        <w:t xml:space="preserve">    "curation_status":        "approved"</w:t>
        <w:br/>
      </w:r>
      <w:r>
        <w:rPr>
          <w:rFonts w:ascii="Courier New" w:hAnsi="Courier New"/>
          <w:sz w:val="18"/>
        </w:rPr>
        <w:t xml:space="preserve">  }</w:t>
        <w:br/>
      </w:r>
      <w:r>
        <w:rPr>
          <w:rFonts w:ascii="Courier New" w:hAnsi="Courier New"/>
          <w:sz w:val="18"/>
        </w:rPr>
        <w:t>}</w:t>
        <w:br/>
      </w:r>
    </w:p>
    <w:p>
      <w:pPr>
        <w:pStyle w:val="Heading3"/>
      </w:pPr>
      <w:r>
        <w:rPr>
          <w:rFonts w:ascii="Calibri" w:hAnsi="Calibri"/>
        </w:rPr>
        <w:t>5.2.1 Cardinality and invariants on taxonomies[]</w:t>
      </w:r>
    </w:p>
    <w:p>
      <w:pPr>
        <w:pStyle w:val="ListBullet"/>
        <w:spacing w:after="60"/>
        <w:ind w:left="360"/>
      </w:pPr>
      <w:r/>
      <w:r>
        <w:rPr>
          <w:rFonts w:ascii="Calibri" w:hAnsi="Calibri"/>
          <w:sz w:val="22"/>
        </w:rPr>
        <w:t>taxonomies[] MUST contain at least one element with role=“reported”. The reported element(s) preserve NPPES's assertion verbatim.</w:t>
      </w:r>
    </w:p>
    <w:p>
      <w:pPr>
        <w:pStyle w:val="ListBullet"/>
        <w:spacing w:after="60"/>
        <w:ind w:left="360"/>
      </w:pPr>
      <w:r/>
      <w:r>
        <w:rPr>
          <w:rFonts w:ascii="Calibri" w:hAnsi="Calibri"/>
          <w:sz w:val="22"/>
        </w:rPr>
        <w:t>taxonomies[] MAY contain zero or more elements with role=“canonical_derived”. Each canonical_derived element MUST carry a related_taxonomy block pointing at a reported element in the same record.</w:t>
      </w:r>
    </w:p>
    <w:p>
      <w:pPr>
        <w:pStyle w:val="ListBullet"/>
        <w:spacing w:after="60"/>
        <w:ind w:left="360"/>
      </w:pPr>
      <w:r/>
      <w:r>
        <w:rPr>
          <w:rFonts w:ascii="Calibri" w:hAnsi="Calibri"/>
          <w:sz w:val="22"/>
        </w:rPr>
        <w:t>A canonical_derived element's target_code MUST be present in current NUCC (i.e. reference_status=“current_reference”).</w:t>
      </w:r>
    </w:p>
    <w:p>
      <w:pPr>
        <w:pStyle w:val="ListBullet"/>
        <w:spacing w:after="60"/>
        <w:ind w:left="360"/>
      </w:pPr>
      <w:r/>
      <w:r>
        <w:rPr>
          <w:rFonts w:ascii="Calibri" w:hAnsi="Calibri"/>
          <w:sz w:val="22"/>
        </w:rPr>
        <w:t>A reported element MUST NOT carry a related_taxonomy block. The relationship hangs off the mapped element, not the mapped-from element (this is the FHIR ConceptMap convention: source_code is a field, not a nested backreference).</w:t>
      </w:r>
    </w:p>
    <w:p>
      <w:pPr>
        <w:pStyle w:val="ListBullet"/>
        <w:spacing w:after="60"/>
        <w:ind w:left="360"/>
      </w:pPr>
      <w:r/>
      <w:r>
        <w:rPr>
          <w:rFonts w:ascii="Calibri" w:hAnsi="Calibri"/>
          <w:sz w:val="22"/>
        </w:rPr>
        <w:t>The pipeline MUST NOT emit a canonical_derived element whose reported source has reference_status=“invalid_confirmed”. Invalid codes are preserved for audit but never propagated forward as mappings.</w:t>
      </w:r>
    </w:p>
    <w:p>
      <w:pPr>
        <w:pStyle w:val="Heading2"/>
      </w:pPr>
      <w:r>
        <w:rPr>
          <w:rFonts w:ascii="Calibri" w:hAnsi="Calibri"/>
        </w:rPr>
        <w:t>5.3 Four-case resolution logic</w:t>
      </w:r>
    </w:p>
    <w:p>
      <w:pPr>
        <w:spacing w:after="120"/>
      </w:pPr>
      <w:r>
        <w:rPr>
          <w:rFonts w:ascii="Calibri" w:hAnsi="Calibri"/>
          <w:b w:val="0"/>
          <w:i w:val="0"/>
          <w:sz w:val="22"/>
        </w:rPr>
        <w:t>For each taxonomy code observed on an ingested NPPES row the flags enrichment step consults current NUCC and F-105 and dispatches on exactly one of four cases. The case selection is deterministic; the dispatch is exhaustive; there is no default branch.</w:t>
      </w:r>
    </w:p>
    <w:p>
      <w:pPr>
        <w:pStyle w:val="Heading3"/>
      </w:pPr>
      <w:r>
        <w:rPr>
          <w:rFonts w:ascii="Calibri" w:hAnsi="Calibri"/>
        </w:rPr>
        <w:t>Case A — code in current NUCC AND in F-105 (with approved flags)</w:t>
      </w:r>
    </w:p>
    <w:p>
      <w:pPr>
        <w:spacing w:after="120"/>
      </w:pPr>
      <w:r>
        <w:rPr>
          <w:rFonts w:ascii="Calibri" w:hAnsi="Calibri"/>
          <w:b w:val="0"/>
          <w:i w:val="0"/>
          <w:sz w:val="22"/>
        </w:rPr>
        <w:t>Modal case, ~99% of records. NUCC supplies display, grouping, classification, specialization, definition, section. F-105 supplies can_prescribe and homeopathic flags. Reported element is emitted with reference_status=“current_reference,” metadata_source=“NUCC:v261 + F105,” no warning, and no canonical_derived element is added (the reported code IS the current canonical).</w:t>
      </w:r>
    </w:p>
    <w:p>
      <w:pPr>
        <w:spacing w:after="120" w:before="80"/>
        <w:ind w:left="360"/>
        <w:shd w:val="clear" w:color="auto" w:fill="F2F2F2"/>
      </w:pPr>
      <w:r>
        <w:rPr>
          <w:rFonts w:ascii="Courier New" w:hAnsi="Courier New"/>
          <w:sz w:val="18"/>
        </w:rPr>
        <w:t>// Case A example: NPI 1234567890, reported 207Q00000X</w:t>
        <w:br/>
      </w:r>
      <w:r>
        <w:rPr>
          <w:rFonts w:ascii="Courier New" w:hAnsi="Courier New"/>
          <w:sz w:val="18"/>
        </w:rPr>
        <w:t>// (Family Medicine, prescribes, not homeopathic).</w:t>
        <w:br/>
      </w:r>
      <w:r>
        <w:rPr>
          <w:rFonts w:ascii="Courier New" w:hAnsi="Courier New"/>
          <w:sz w:val="18"/>
        </w:rPr>
        <w:t>"taxonomies": [</w:t>
        <w:br/>
      </w:r>
      <w:r>
        <w:rPr>
          <w:rFonts w:ascii="Courier New" w:hAnsi="Courier New"/>
          <w:sz w:val="18"/>
        </w:rPr>
        <w:t xml:space="preserve">  {</w:t>
        <w:br/>
      </w:r>
      <w:r>
        <w:rPr>
          <w:rFonts w:ascii="Courier New" w:hAnsi="Courier New"/>
          <w:sz w:val="18"/>
        </w:rPr>
        <w:t xml:space="preserve">    "role": "reported",</w:t>
        <w:br/>
      </w:r>
      <w:r>
        <w:rPr>
          <w:rFonts w:ascii="Courier New" w:hAnsi="Courier New"/>
          <w:sz w:val="18"/>
        </w:rPr>
        <w:t xml:space="preserve">    "code": "207Q00000X",</w:t>
        <w:br/>
      </w:r>
      <w:r>
        <w:rPr>
          <w:rFonts w:ascii="Courier New" w:hAnsi="Courier New"/>
          <w:sz w:val="18"/>
        </w:rPr>
        <w:t xml:space="preserve">    "system": "http://nucc.org/provider-taxonomy",</w:t>
        <w:br/>
      </w:r>
      <w:r>
        <w:rPr>
          <w:rFonts w:ascii="Courier New" w:hAnsi="Courier New"/>
          <w:sz w:val="18"/>
        </w:rPr>
        <w:t xml:space="preserve">    "display": "Family Medicine",</w:t>
        <w:br/>
      </w:r>
      <w:r>
        <w:rPr>
          <w:rFonts w:ascii="Courier New" w:hAnsi="Courier New"/>
          <w:sz w:val="18"/>
        </w:rPr>
        <w:t xml:space="preserve">    "taxonomy_authority": "NPPES",</w:t>
        <w:br/>
      </w:r>
      <w:r>
        <w:rPr>
          <w:rFonts w:ascii="Courier New" w:hAnsi="Courier New"/>
          <w:sz w:val="18"/>
        </w:rPr>
        <w:t xml:space="preserve">    "reference_status": "current_reference",</w:t>
        <w:br/>
      </w:r>
      <w:r>
        <w:rPr>
          <w:rFonts w:ascii="Courier New" w:hAnsi="Courier New"/>
          <w:sz w:val="18"/>
        </w:rPr>
        <w:t xml:space="preserve">    "metadata_source": "NUCC:v261 + F105",</w:t>
        <w:br/>
      </w:r>
      <w:r>
        <w:rPr>
          <w:rFonts w:ascii="Courier New" w:hAnsi="Courier New"/>
          <w:sz w:val="18"/>
        </w:rPr>
        <w:t xml:space="preserve">    "metadata_source_version": "F105:2026-08-01",</w:t>
        <w:br/>
      </w:r>
      <w:r>
        <w:rPr>
          <w:rFonts w:ascii="Courier New" w:hAnsi="Courier New"/>
          <w:sz w:val="18"/>
        </w:rPr>
        <w:t xml:space="preserve">    "flags": { "can_prescribe": true, "homeopathic": false },</w:t>
        <w:br/>
      </w:r>
      <w:r>
        <w:rPr>
          <w:rFonts w:ascii="Courier New" w:hAnsi="Courier New"/>
          <w:sz w:val="18"/>
        </w:rPr>
        <w:t xml:space="preserve">    "flags_source": "F105:2026-08-01"</w:t>
        <w:br/>
      </w:r>
      <w:r>
        <w:rPr>
          <w:rFonts w:ascii="Courier New" w:hAnsi="Courier New"/>
          <w:sz w:val="18"/>
        </w:rPr>
        <w:t xml:space="preserve">  }</w:t>
        <w:br/>
      </w:r>
      <w:r>
        <w:rPr>
          <w:rFonts w:ascii="Courier New" w:hAnsi="Courier New"/>
          <w:sz w:val="18"/>
        </w:rPr>
        <w:t>]</w:t>
        <w:br/>
      </w:r>
    </w:p>
    <w:p>
      <w:pPr>
        <w:pStyle w:val="Heading3"/>
      </w:pPr>
      <w:r>
        <w:rPr>
          <w:rFonts w:ascii="Calibri" w:hAnsi="Calibri"/>
        </w:rPr>
        <w:t>Case B — code NOT in current NUCC, but IS in F-105 with an approved repair (and optionally an approved mapping)</w:t>
      </w:r>
    </w:p>
    <w:p>
      <w:pPr>
        <w:spacing w:after="120"/>
      </w:pPr>
      <w:r>
        <w:rPr>
          <w:rFonts w:ascii="Calibri" w:hAnsi="Calibri"/>
          <w:b w:val="0"/>
          <w:i w:val="0"/>
          <w:sz w:val="22"/>
        </w:rPr>
        <w:t>Repair-overlay case. Runs for reference_status ∈ {historical_reference, records_registry_only}. F-105 supplies curated_display, curated_grouping, and flags. Reported element is emitted with the applicable reference_status, metadata_source=“F105,” and warning=“code_not_in_current_nucc_v261”. If F-105 also carries an approved related_taxonomies entry, a canonical_derived element is added, with related_taxonomy pointing at the reported element and relationship drawn from the mapping. If no mapping is approved, no canonical_derived element is added; the record is served with the reported code and no current-NUCC equivalent.</w:t>
      </w:r>
    </w:p>
    <w:p>
      <w:pPr>
        <w:spacing w:after="120" w:before="80"/>
        <w:ind w:left="360"/>
        <w:shd w:val="clear" w:color="auto" w:fill="F2F2F2"/>
      </w:pPr>
      <w:r>
        <w:rPr>
          <w:rFonts w:ascii="Courier New" w:hAnsi="Courier New"/>
          <w:sz w:val="18"/>
        </w:rPr>
        <w:t>// Case B example: NPI 1417801002 (William Waller, CCP),</w:t>
        <w:br/>
      </w:r>
      <w:r>
        <w:rPr>
          <w:rFonts w:ascii="Courier New" w:hAnsi="Courier New"/>
          <w:sz w:val="18"/>
        </w:rPr>
        <w:t>// reported 246ZS0400X. F-105 carries a records_registry_only entry with</w:t>
        <w:br/>
      </w:r>
      <w:r>
        <w:rPr>
          <w:rFonts w:ascii="Courier New" w:hAnsi="Courier New"/>
          <w:sz w:val="18"/>
        </w:rPr>
        <w:t>// flags AND an approved possibly-equivalent-to mapping to 246ZS0410X.</w:t>
        <w:br/>
      </w:r>
      <w:r>
        <w:rPr>
          <w:rFonts w:ascii="Courier New" w:hAnsi="Courier New"/>
          <w:sz w:val="18"/>
        </w:rPr>
        <w:t>"taxonomies": [</w:t>
        <w:br/>
      </w:r>
      <w:r>
        <w:rPr>
          <w:rFonts w:ascii="Courier New" w:hAnsi="Courier New"/>
          <w:sz w:val="18"/>
        </w:rPr>
        <w:t xml:space="preserve">  {</w:t>
        <w:br/>
      </w:r>
      <w:r>
        <w:rPr>
          <w:rFonts w:ascii="Courier New" w:hAnsi="Courier New"/>
          <w:sz w:val="18"/>
        </w:rPr>
        <w:t xml:space="preserve">    "role": "reported",</w:t>
        <w:br/>
      </w:r>
      <w:r>
        <w:rPr>
          <w:rFonts w:ascii="Courier New" w:hAnsi="Courier New"/>
          <w:sz w:val="18"/>
        </w:rPr>
        <w:t xml:space="preserve">    "code": "246ZS0400X",</w:t>
        <w:br/>
      </w:r>
      <w:r>
        <w:rPr>
          <w:rFonts w:ascii="Courier New" w:hAnsi="Courier New"/>
          <w:sz w:val="18"/>
        </w:rPr>
        <w:t xml:space="preserve">    "system": "http://nucc.org/provider-taxonomy",</w:t>
        <w:br/>
      </w:r>
      <w:r>
        <w:rPr>
          <w:rFonts w:ascii="Courier New" w:hAnsi="Courier New"/>
          <w:sz w:val="18"/>
        </w:rPr>
        <w:t xml:space="preserve">    "display": "Specialist/Technologist, Other, Surgical (retired NUCC label)",</w:t>
        <w:br/>
      </w:r>
      <w:r>
        <w:rPr>
          <w:rFonts w:ascii="Courier New" w:hAnsi="Courier New"/>
          <w:sz w:val="18"/>
        </w:rPr>
        <w:t xml:space="preserve">    "taxonomy_authority": "NPPES",</w:t>
        <w:br/>
      </w:r>
      <w:r>
        <w:rPr>
          <w:rFonts w:ascii="Courier New" w:hAnsi="Courier New"/>
          <w:sz w:val="18"/>
        </w:rPr>
        <w:t xml:space="preserve">    "reference_status": "records_registry_only",</w:t>
        <w:br/>
      </w:r>
      <w:r>
        <w:rPr>
          <w:rFonts w:ascii="Courier New" w:hAnsi="Courier New"/>
          <w:sz w:val="18"/>
        </w:rPr>
        <w:t xml:space="preserve">    "metadata_source": "F105",</w:t>
        <w:br/>
      </w:r>
      <w:r>
        <w:rPr>
          <w:rFonts w:ascii="Courier New" w:hAnsi="Courier New"/>
          <w:sz w:val="18"/>
        </w:rPr>
        <w:t xml:space="preserve">    "metadata_source_version": "F105:2026-08-01",</w:t>
        <w:br/>
      </w:r>
      <w:r>
        <w:rPr>
          <w:rFonts w:ascii="Courier New" w:hAnsi="Courier New"/>
          <w:sz w:val="18"/>
        </w:rPr>
        <w:t xml:space="preserve">    "warning": "code_not_in_current_nucc_v261",</w:t>
        <w:br/>
      </w:r>
      <w:r>
        <w:rPr>
          <w:rFonts w:ascii="Courier New" w:hAnsi="Courier New"/>
          <w:sz w:val="18"/>
        </w:rPr>
        <w:t xml:space="preserve">    "flags": { "can_prescribe": false, "homeopathic": false },</w:t>
        <w:br/>
      </w:r>
      <w:r>
        <w:rPr>
          <w:rFonts w:ascii="Courier New" w:hAnsi="Courier New"/>
          <w:sz w:val="18"/>
        </w:rPr>
        <w:t xml:space="preserve">    "flags_source": "F105:2026-08-01"</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"role": "canonical_derived",</w:t>
        <w:br/>
      </w:r>
      <w:r>
        <w:rPr>
          <w:rFonts w:ascii="Courier New" w:hAnsi="Courier New"/>
          <w:sz w:val="18"/>
        </w:rPr>
        <w:t xml:space="preserve">    "code": "246ZS0410X",</w:t>
        <w:br/>
      </w:r>
      <w:r>
        <w:rPr>
          <w:rFonts w:ascii="Courier New" w:hAnsi="Courier New"/>
          <w:sz w:val="18"/>
        </w:rPr>
        <w:t xml:space="preserve">    "system": "http://nucc.org/provider-taxonomy",</w:t>
        <w:br/>
      </w:r>
      <w:r>
        <w:rPr>
          <w:rFonts w:ascii="Courier New" w:hAnsi="Courier New"/>
          <w:sz w:val="18"/>
        </w:rPr>
        <w:t xml:space="preserve">    "display": "Surgical Technologist",</w:t>
        <w:br/>
      </w:r>
      <w:r>
        <w:rPr>
          <w:rFonts w:ascii="Courier New" w:hAnsi="Courier New"/>
          <w:sz w:val="18"/>
        </w:rPr>
        <w:t xml:space="preserve">    "taxonomy_authority": "NUCC",</w:t>
        <w:br/>
      </w:r>
      <w:r>
        <w:rPr>
          <w:rFonts w:ascii="Courier New" w:hAnsi="Courier New"/>
          <w:sz w:val="18"/>
        </w:rPr>
        <w:t xml:space="preserve">    "reference_status": "current_reference",</w:t>
        <w:br/>
      </w:r>
      <w:r>
        <w:rPr>
          <w:rFonts w:ascii="Courier New" w:hAnsi="Courier New"/>
          <w:sz w:val="18"/>
        </w:rPr>
        <w:t xml:space="preserve">    "metadata_source": "NUCC:v261",</w:t>
        <w:br/>
      </w:r>
      <w:r>
        <w:rPr>
          <w:rFonts w:ascii="Courier New" w:hAnsi="Courier New"/>
          <w:sz w:val="18"/>
        </w:rPr>
        <w:t xml:space="preserve">    "flags": { "can_prescribe": false, "homeopathic": false },</w:t>
        <w:br/>
      </w:r>
      <w:r>
        <w:rPr>
          <w:rFonts w:ascii="Courier New" w:hAnsi="Courier New"/>
          <w:sz w:val="18"/>
        </w:rPr>
        <w:t xml:space="preserve">    "flags_source": "F105:2026-08-01",</w:t>
        <w:br/>
      </w:r>
      <w:r>
        <w:rPr>
          <w:rFonts w:ascii="Courier New" w:hAnsi="Courier New"/>
          <w:sz w:val="18"/>
        </w:rPr>
        <w:t xml:space="preserve">    "related_taxonomy": {</w:t>
        <w:br/>
      </w:r>
      <w:r>
        <w:rPr>
          <w:rFonts w:ascii="Courier New" w:hAnsi="Courier New"/>
          <w:sz w:val="18"/>
        </w:rPr>
        <w:t xml:space="preserve">      "target_role":            "reported",</w:t>
        <w:br/>
      </w:r>
      <w:r>
        <w:rPr>
          <w:rFonts w:ascii="Courier New" w:hAnsi="Courier New"/>
          <w:sz w:val="18"/>
        </w:rPr>
        <w:t xml:space="preserve">      "target_code":            "246ZS0400X",</w:t>
        <w:br/>
      </w:r>
      <w:r>
        <w:rPr>
          <w:rFonts w:ascii="Courier New" w:hAnsi="Courier New"/>
          <w:sz w:val="18"/>
        </w:rPr>
        <w:t xml:space="preserve">      "relationship":           "possibly-equivalent-to",</w:t>
        <w:br/>
      </w:r>
      <w:r>
        <w:rPr>
          <w:rFonts w:ascii="Courier New" w:hAnsi="Courier New"/>
          <w:sz w:val="18"/>
        </w:rPr>
        <w:t xml:space="preserve">      "mapping_source":         "F105",</w:t>
        <w:br/>
      </w:r>
      <w:r>
        <w:rPr>
          <w:rFonts w:ascii="Courier New" w:hAnsi="Courier New"/>
          <w:sz w:val="18"/>
        </w:rPr>
        <w:t xml:space="preserve">      "mapping_source_version": "F105:2026-08-01",</w:t>
        <w:br/>
      </w:r>
      <w:r>
        <w:rPr>
          <w:rFonts w:ascii="Courier New" w:hAnsi="Courier New"/>
          <w:sz w:val="18"/>
        </w:rPr>
        <w:t xml:space="preserve">      "curation_status":        "approved"</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pStyle w:val="Heading3"/>
      </w:pPr>
      <w:r>
        <w:rPr>
          <w:rFonts w:ascii="Calibri" w:hAnsi="Calibri"/>
        </w:rPr>
        <w:t>Case C — code observed on NPPES, NOT in current NUCC, NOT triaged in F-105 (unresolved)</w:t>
      </w:r>
    </w:p>
    <w:p>
      <w:pPr>
        <w:spacing w:after="120"/>
      </w:pPr>
      <w:r>
        <w:rPr>
          <w:rFonts w:ascii="Calibri" w:hAnsi="Calibri"/>
          <w:b w:val="0"/>
          <w:i w:val="0"/>
          <w:sz w:val="22"/>
        </w:rPr>
        <w:t>Unresolved case. The reported element is emitted with reference_status=“unresolved,” metadata_source=“F105” (indicating that F-105 is the only place a resolution could live and does not), and warning=“code_not_in_current_nucc_v261”. No flags are set, no canonical_derived is added, and the flags enrichment step MUST emit a structured observability event that the curator sees on the next reconciliation review (§9). Silence would defeat the pattern; unresolved is a signal, not a safe default.</w:t>
      </w:r>
    </w:p>
    <w:p>
      <w:pPr>
        <w:spacing w:after="120" w:before="80"/>
        <w:ind w:left="360"/>
        <w:shd w:val="clear" w:color="auto" w:fill="F2F2F2"/>
      </w:pPr>
      <w:r>
        <w:rPr>
          <w:rFonts w:ascii="Courier New" w:hAnsi="Courier New"/>
          <w:sz w:val="18"/>
        </w:rPr>
        <w:t>// Case C example: NPI 9999999901, reported hypothetical code 999ABC000X.</w:t>
        <w:br/>
      </w:r>
      <w:r>
        <w:rPr>
          <w:rFonts w:ascii="Courier New" w:hAnsi="Courier New"/>
          <w:sz w:val="18"/>
        </w:rPr>
        <w:t>"taxonomies": [</w:t>
        <w:br/>
      </w:r>
      <w:r>
        <w:rPr>
          <w:rFonts w:ascii="Courier New" w:hAnsi="Courier New"/>
          <w:sz w:val="18"/>
        </w:rPr>
        <w:t xml:space="preserve">  {</w:t>
        <w:br/>
      </w:r>
      <w:r>
        <w:rPr>
          <w:rFonts w:ascii="Courier New" w:hAnsi="Courier New"/>
          <w:sz w:val="18"/>
        </w:rPr>
        <w:t xml:space="preserve">    "role": "reported",</w:t>
        <w:br/>
      </w:r>
      <w:r>
        <w:rPr>
          <w:rFonts w:ascii="Courier New" w:hAnsi="Courier New"/>
          <w:sz w:val="18"/>
        </w:rPr>
        <w:t xml:space="preserve">    "code": "999ABC000X",</w:t>
        <w:br/>
      </w:r>
      <w:r>
        <w:rPr>
          <w:rFonts w:ascii="Courier New" w:hAnsi="Courier New"/>
          <w:sz w:val="18"/>
        </w:rPr>
        <w:t xml:space="preserve">    "system": "http://nucc.org/provider-taxonomy",</w:t>
        <w:br/>
      </w:r>
      <w:r>
        <w:rPr>
          <w:rFonts w:ascii="Courier New" w:hAnsi="Courier New"/>
          <w:sz w:val="18"/>
        </w:rPr>
        <w:t xml:space="preserve">    "display": "(unknown; not in current NUCC; not triaged in F-105)",</w:t>
        <w:br/>
      </w:r>
      <w:r>
        <w:rPr>
          <w:rFonts w:ascii="Courier New" w:hAnsi="Courier New"/>
          <w:sz w:val="18"/>
        </w:rPr>
        <w:t xml:space="preserve">    "taxonomy_authority": "NPPES",</w:t>
        <w:br/>
      </w:r>
      <w:r>
        <w:rPr>
          <w:rFonts w:ascii="Courier New" w:hAnsi="Courier New"/>
          <w:sz w:val="18"/>
        </w:rPr>
        <w:t xml:space="preserve">    "reference_status": "unresolved",</w:t>
        <w:br/>
      </w:r>
      <w:r>
        <w:rPr>
          <w:rFonts w:ascii="Courier New" w:hAnsi="Courier New"/>
          <w:sz w:val="18"/>
        </w:rPr>
        <w:t xml:space="preserve">    "metadata_source": "F105",</w:t>
        <w:br/>
      </w:r>
      <w:r>
        <w:rPr>
          <w:rFonts w:ascii="Courier New" w:hAnsi="Courier New"/>
          <w:sz w:val="18"/>
        </w:rPr>
        <w:t xml:space="preserve">    "metadata_source_version": "F105:2026-08-01",</w:t>
        <w:br/>
      </w:r>
      <w:r>
        <w:rPr>
          <w:rFonts w:ascii="Courier New" w:hAnsi="Courier New"/>
          <w:sz w:val="18"/>
        </w:rPr>
        <w:t xml:space="preserve">    "warning": "code_not_in_current_nucc_v261"</w:t>
        <w:br/>
      </w:r>
      <w:r>
        <w:rPr>
          <w:rFonts w:ascii="Courier New" w:hAnsi="Courier New"/>
          <w:sz w:val="18"/>
        </w:rPr>
        <w:t xml:space="preserve">    // flags intentionally absent — default values are FORBIDDEN in Case C.</w:t>
        <w:br/>
      </w:r>
      <w:r>
        <w:rPr>
          <w:rFonts w:ascii="Courier New" w:hAnsi="Courier New"/>
          <w:sz w:val="18"/>
        </w:rPr>
        <w:t xml:space="preserve">  }</w:t>
        <w:br/>
      </w:r>
      <w:r>
        <w:rPr>
          <w:rFonts w:ascii="Courier New" w:hAnsi="Courier New"/>
          <w:sz w:val="18"/>
        </w:rPr>
        <w:t>]</w:t>
        <w:br/>
      </w:r>
    </w:p>
    <w:p>
      <w:pPr>
        <w:pStyle w:val="Heading3"/>
      </w:pPr>
      <w:r>
        <w:rPr>
          <w:rFonts w:ascii="Calibri" w:hAnsi="Calibri"/>
        </w:rPr>
        <w:t>Case D — code in F-105 (mapping approved) but F-105 mapping target is NOT in current NUCC (broken mapping)</w:t>
      </w:r>
    </w:p>
    <w:p>
      <w:pPr>
        <w:spacing w:after="120"/>
      </w:pPr>
      <w:r>
        <w:rPr>
          <w:rFonts w:ascii="Calibri" w:hAnsi="Calibri"/>
          <w:b w:val="0"/>
          <w:i w:val="0"/>
          <w:sz w:val="22"/>
        </w:rPr>
        <w:t>Broken-mapping case. This happens when a previously-approved F-105 mapping targeted a NUCC code that has since been retired. The pipeline MUST NOT emit the canonical_derived element (the target is no longer canonical), MUST NOT silently repoint the mapping to some other code, and MUST emit a structured observability event flagging the F-105 mapping entry as “mapping target invalid, curator review required.” The reported element is emitted with reference_status inherited from F-105 (historical_reference or records_registry_only) and warning=“canonical_mapping_target_invalid.” The mapping entry in F-105 is marked draft on the next catalog build until the curator re-approves a target.</w:t>
      </w:r>
    </w:p>
    <w:p>
      <w:pPr>
        <w:spacing w:after="120" w:before="80"/>
        <w:ind w:left="360"/>
        <w:shd w:val="clear" w:color="auto" w:fill="F2F2F2"/>
      </w:pPr>
      <w:r>
        <w:rPr>
          <w:rFonts w:ascii="Courier New" w:hAnsi="Courier New"/>
          <w:sz w:val="18"/>
        </w:rPr>
        <w:t>// Case D example: reported code 246ZS0400X, F-105 mapping target</w:t>
        <w:br/>
      </w:r>
      <w:r>
        <w:rPr>
          <w:rFonts w:ascii="Courier New" w:hAnsi="Courier New"/>
          <w:sz w:val="18"/>
        </w:rPr>
        <w:t>// 246ZS0410X has itself since been retired by NUCC v262 (hypothetical).</w:t>
        <w:br/>
      </w:r>
      <w:r>
        <w:rPr>
          <w:rFonts w:ascii="Courier New" w:hAnsi="Courier New"/>
          <w:sz w:val="18"/>
        </w:rPr>
        <w:t>"taxonomies": [</w:t>
        <w:br/>
      </w:r>
      <w:r>
        <w:rPr>
          <w:rFonts w:ascii="Courier New" w:hAnsi="Courier New"/>
          <w:sz w:val="18"/>
        </w:rPr>
        <w:t xml:space="preserve">  {</w:t>
        <w:br/>
      </w:r>
      <w:r>
        <w:rPr>
          <w:rFonts w:ascii="Courier New" w:hAnsi="Courier New"/>
          <w:sz w:val="18"/>
        </w:rPr>
        <w:t xml:space="preserve">    "role": "reported",</w:t>
        <w:br/>
      </w:r>
      <w:r>
        <w:rPr>
          <w:rFonts w:ascii="Courier New" w:hAnsi="Courier New"/>
          <w:sz w:val="18"/>
        </w:rPr>
        <w:t xml:space="preserve">    "code": "246ZS0400X",</w:t>
        <w:br/>
      </w:r>
      <w:r>
        <w:rPr>
          <w:rFonts w:ascii="Courier New" w:hAnsi="Courier New"/>
          <w:sz w:val="18"/>
        </w:rPr>
        <w:t xml:space="preserve">    "system": "http://nucc.org/provider-taxonomy",</w:t>
        <w:br/>
      </w:r>
      <w:r>
        <w:rPr>
          <w:rFonts w:ascii="Courier New" w:hAnsi="Courier New"/>
          <w:sz w:val="18"/>
        </w:rPr>
        <w:t xml:space="preserve">    "display": "Specialist/Technologist, Other, Surgical (retired NUCC label)",</w:t>
        <w:br/>
      </w:r>
      <w:r>
        <w:rPr>
          <w:rFonts w:ascii="Courier New" w:hAnsi="Courier New"/>
          <w:sz w:val="18"/>
        </w:rPr>
        <w:t xml:space="preserve">    "taxonomy_authority": "NPPES",</w:t>
        <w:br/>
      </w:r>
      <w:r>
        <w:rPr>
          <w:rFonts w:ascii="Courier New" w:hAnsi="Courier New"/>
          <w:sz w:val="18"/>
        </w:rPr>
        <w:t xml:space="preserve">    "reference_status": "records_registry_only",</w:t>
        <w:br/>
      </w:r>
      <w:r>
        <w:rPr>
          <w:rFonts w:ascii="Courier New" w:hAnsi="Courier New"/>
          <w:sz w:val="18"/>
        </w:rPr>
        <w:t xml:space="preserve">    "metadata_source": "F105",</w:t>
        <w:br/>
      </w:r>
      <w:r>
        <w:rPr>
          <w:rFonts w:ascii="Courier New" w:hAnsi="Courier New"/>
          <w:sz w:val="18"/>
        </w:rPr>
        <w:t xml:space="preserve">    "metadata_source_version": "F105:2026-08-01",</w:t>
        <w:br/>
      </w:r>
      <w:r>
        <w:rPr>
          <w:rFonts w:ascii="Courier New" w:hAnsi="Courier New"/>
          <w:sz w:val="18"/>
        </w:rPr>
        <w:t xml:space="preserve">    "warning": "canonical_mapping_target_invalid",</w:t>
        <w:br/>
      </w:r>
      <w:r>
        <w:rPr>
          <w:rFonts w:ascii="Courier New" w:hAnsi="Courier New"/>
          <w:sz w:val="18"/>
        </w:rPr>
        <w:t xml:space="preserve">    "flags": { "can_prescribe": false, "homeopathic": false },</w:t>
        <w:br/>
      </w:r>
      <w:r>
        <w:rPr>
          <w:rFonts w:ascii="Courier New" w:hAnsi="Courier New"/>
          <w:sz w:val="18"/>
        </w:rPr>
        <w:t xml:space="preserve">    "flags_source": "F105:2026-08-01"</w:t>
        <w:br/>
      </w:r>
      <w:r>
        <w:rPr>
          <w:rFonts w:ascii="Courier New" w:hAnsi="Courier New"/>
          <w:sz w:val="18"/>
        </w:rPr>
        <w:t xml:space="preserve">  }</w:t>
        <w:br/>
      </w:r>
      <w:r>
        <w:rPr>
          <w:rFonts w:ascii="Courier New" w:hAnsi="Courier New"/>
          <w:sz w:val="18"/>
        </w:rPr>
        <w:t xml:space="preserve">  // NO canonical_derived element — the target 246ZS0410X is not currently NUCC.</w:t>
        <w:br/>
      </w:r>
      <w:r>
        <w:rPr>
          <w:rFonts w:ascii="Courier New" w:hAnsi="Courier New"/>
          <w:sz w:val="18"/>
        </w:rPr>
        <w:t>]</w:t>
        <w:br/>
      </w:r>
    </w:p>
    <w:p>
      <w:r>
        <w:br w:type="page"/>
      </w:r>
    </w:p>
    <w:p>
      <w:pPr>
        <w:pStyle w:val="Heading1"/>
      </w:pPr>
      <w:r>
        <w:rPr>
          <w:rFonts w:ascii="Calibri" w:hAnsi="Calibri"/>
        </w:rPr>
        <w:t>6. Curation Process</w:t>
      </w:r>
    </w:p>
    <w:p>
      <w:pPr>
        <w:spacing w:after="120"/>
      </w:pPr>
      <w:r>
        <w:rPr>
          <w:rFonts w:ascii="Calibri" w:hAnsi="Calibri"/>
          <w:b w:val="0"/>
          <w:i w:val="0"/>
          <w:sz w:val="22"/>
        </w:rPr>
        <w:t>Every F-105 entry that is not a straight import from current NUCC — that is, every entry where curator judgment is required — is authored through a research-first curation process. The pattern is emphatic on this point: curation is NOT the application of safe defaults. “False if we don't know” is a data-quality signal masquerading as a value; the pattern rejects it. Every flag on every non-current_reference entry is a positive assertion backed by a cited source.</w:t>
      </w:r>
    </w:p>
    <w:p>
      <w:pPr>
        <w:spacing w:after="120"/>
      </w:pPr>
      <w:r>
        <w:rPr>
          <w:rFonts w:ascii="Calibri" w:hAnsi="Calibri"/>
          <w:b/>
          <w:i w:val="0"/>
          <w:sz w:val="22"/>
        </w:rPr>
        <w:t>The six-step curation process is:</w:t>
      </w:r>
    </w:p>
    <w:p>
      <w:pPr>
        <w:pStyle w:val="ListNumber"/>
        <w:spacing w:after="60"/>
        <w:ind w:left="360"/>
      </w:pPr>
      <w:r>
        <w:rPr>
          <w:rFonts w:ascii="Calibri" w:hAnsi="Calibri"/>
          <w:sz w:val="22"/>
        </w:rPr>
        <w:t>Confirm the code is absent from current NUCC. Look up the code in the current NUCC CSV (v261 as of 2026-08). If it is present, this is a Case A entry, not a curation case; the curator STOPs and the code becomes a straight import. If it is absent, record the fact and proceed. Also record the last NUCC version at which the code was present (if any) so first_observed_reference_version and last_verified_reference_version can be set accurately.</w:t>
      </w:r>
    </w:p>
    <w:p>
      <w:pPr>
        <w:pStyle w:val="ListNumber"/>
        <w:spacing w:after="60"/>
        <w:ind w:left="360"/>
      </w:pPr>
      <w:r>
        <w:rPr>
          <w:rFonts w:ascii="Calibri" w:hAnsi="Calibri"/>
          <w:sz w:val="22"/>
        </w:rPr>
        <w:t>Look up the NPPES description for the code. NPPES's own record of the code's meaning is authoritative for what NPPES thinks it is, even if NUCC has moved on. The NPPES public NPI registry API (https://npiregistry.cms.hhs.gov/registry/help-api) returns taxonomy code descriptions as recorded by NPPES; that description is captured verbatim as the curator's starting point.</w:t>
      </w:r>
    </w:p>
    <w:p>
      <w:pPr>
        <w:pStyle w:val="ListNumber"/>
        <w:spacing w:after="60"/>
        <w:ind w:left="360"/>
      </w:pPr>
      <w:r>
        <w:rPr>
          <w:rFonts w:ascii="Calibri" w:hAnsi="Calibri"/>
          <w:sz w:val="22"/>
        </w:rPr>
        <w:t>Cross-reference to the closest current NUCC code. Consult NUCC.org (https://www.nucc.org) taxonomy publications, prior-version diffs where available, and any published NUCC retirement/replacement notes. Identify the single closest current NUCC code, if one exists, and record the identifier and the relationship (possibly-equivalent-to | related-to | source-is-narrower-than-target | source-is-broader-than-target). If no acceptable close match exists, record that fact; the entry will be Case C without a canonical_derived on downstream records.</w:t>
      </w:r>
    </w:p>
    <w:p>
      <w:pPr>
        <w:pStyle w:val="ListNumber"/>
        <w:spacing w:after="60"/>
        <w:ind w:left="360"/>
      </w:pPr>
      <w:r>
        <w:rPr>
          <w:rFonts w:ascii="Calibri" w:hAnsi="Calibri"/>
          <w:sz w:val="22"/>
        </w:rPr>
        <w:t>Determine can_prescribe from the role definition. Does this profession have prescriptive authority in ANY U.S. state? The question is answered against the NUCC definition (if the code once had one) plus the professional scope-of-practice references cited by NUCC. “Any U.S. state” is deliberately inclusive: if even one state licenses this profession to prescribe, the flag is true. This is not a state-specific field; downstream may add its own state-scoping if needed.</w:t>
      </w:r>
    </w:p>
    <w:p>
      <w:pPr>
        <w:pStyle w:val="ListNumber"/>
        <w:spacing w:after="60"/>
        <w:ind w:left="360"/>
      </w:pPr>
      <w:r>
        <w:rPr>
          <w:rFonts w:ascii="Calibri" w:hAnsi="Calibri"/>
          <w:sz w:val="22"/>
        </w:rPr>
        <w:t>Determine homeopathic from role scope. Is the professional scope by name a homeopathic practitioner (as distinct from complementary, alternative, naturopathic, or integrative-medicine practitioners more broadly)? The pattern is deliberately narrow here per the F-105 v1 definition; broader CAM markers are out of scope for this flag.</w:t>
      </w:r>
    </w:p>
    <w:p>
      <w:pPr>
        <w:pStyle w:val="ListNumber"/>
        <w:spacing w:after="60"/>
        <w:ind w:left="360"/>
      </w:pPr>
      <w:r>
        <w:rPr>
          <w:rFonts w:ascii="Calibri" w:hAnsi="Calibri"/>
          <w:sz w:val="22"/>
        </w:rPr>
        <w:t>Fill in the metadata block and cite the source. Populate curated_display, curated_grouping, metadata_source, evidence_type, first_observed_reference_version, last_verified_reference_version, curation_notes (naming every source consulted with URL where applicable), curation_status (draft on entry; approved only after review), and catalog_version. Nothing enters production catalog with curation_status other than approved.</w:t>
      </w:r>
    </w:p>
    <w:p>
      <w:pPr>
        <w:spacing w:after="120"/>
      </w:pPr>
      <w:r>
        <w:rPr>
          <w:rFonts w:ascii="Calibri" w:hAnsi="Calibri"/>
          <w:b w:val="0"/>
          <w:i w:val="0"/>
          <w:sz w:val="22"/>
        </w:rPr>
        <w:t>The process is not automated in v1. Automation of NUCC-diff detection and unresolved-code triage is a candidate for a later pipeline release; the v1 expectation is a human curator working with the operator-approved review checklist. Expected F-105 repair-overlay entry count remains under 100 entries against a catalog of ~883 total entries.</w:t>
      </w:r>
    </w:p>
    <w:p>
      <w:r>
        <w:br w:type="page"/>
      </w:r>
    </w:p>
    <w:p>
      <w:pPr>
        <w:pStyle w:val="Heading1"/>
      </w:pPr>
      <w:r>
        <w:rPr>
          <w:rFonts w:ascii="Calibri" w:hAnsi="Calibri"/>
        </w:rPr>
        <w:t>7. Failure Policy — Record-Level Anomaly vs Artifact-Level Failure</w:t>
      </w:r>
    </w:p>
    <w:p>
      <w:pPr>
        <w:spacing w:after="120"/>
      </w:pPr>
      <w:r>
        <w:rPr>
          <w:rFonts w:ascii="Calibri" w:hAnsi="Calibri"/>
          <w:b w:val="0"/>
          <w:i w:val="0"/>
          <w:sz w:val="22"/>
        </w:rPr>
        <w:t>The pattern draws a hard distinction between two classes of adverse condition the flags enrichment step can encounter. Each class has a defined response.</w:t>
      </w:r>
    </w:p>
    <w:p>
      <w:pPr>
        <w:pStyle w:val="Heading2"/>
      </w:pPr>
      <w:r>
        <w:rPr>
          <w:rFonts w:ascii="Calibri" w:hAnsi="Calibri"/>
        </w:rPr>
        <w:t>7.1 Record-level anomaly</w:t>
      </w:r>
    </w:p>
    <w:p>
      <w:pPr>
        <w:spacing w:after="120"/>
      </w:pPr>
      <w:r>
        <w:rPr>
          <w:rFonts w:ascii="Calibri" w:hAnsi="Calibri"/>
          <w:b w:val="0"/>
          <w:i w:val="0"/>
          <w:sz w:val="22"/>
        </w:rPr>
        <w:t>A record-level anomaly is a condition affecting one provider record's taxonomy handling. Examples:</w:t>
      </w:r>
    </w:p>
    <w:p>
      <w:pPr>
        <w:pStyle w:val="ListBullet"/>
        <w:spacing w:after="60"/>
        <w:ind w:left="360"/>
      </w:pPr>
      <w:r/>
      <w:r>
        <w:rPr>
          <w:rFonts w:ascii="Calibri" w:hAnsi="Calibri"/>
          <w:sz w:val="22"/>
        </w:rPr>
        <w:t>Case C — code not in current NUCC and not triaged in F-105.</w:t>
      </w:r>
    </w:p>
    <w:p>
      <w:pPr>
        <w:pStyle w:val="ListBullet"/>
        <w:spacing w:after="60"/>
        <w:ind w:left="360"/>
      </w:pPr>
      <w:r/>
      <w:r>
        <w:rPr>
          <w:rFonts w:ascii="Calibri" w:hAnsi="Calibri"/>
          <w:sz w:val="22"/>
        </w:rPr>
        <w:t>Case D — F-105 mapping target has itself retired since the mapping was approved.</w:t>
      </w:r>
    </w:p>
    <w:p>
      <w:pPr>
        <w:pStyle w:val="ListBullet"/>
        <w:spacing w:after="60"/>
        <w:ind w:left="360"/>
      </w:pPr>
      <w:r/>
      <w:r>
        <w:rPr>
          <w:rFonts w:ascii="Calibri" w:hAnsi="Calibri"/>
          <w:sz w:val="22"/>
        </w:rPr>
        <w:t>F-105 entry present with curation_status=“draft” (should never reach production; if it does, treat as unresolved and log).</w:t>
      </w:r>
    </w:p>
    <w:p>
      <w:pPr>
        <w:pStyle w:val="ListBullet"/>
        <w:spacing w:after="60"/>
        <w:ind w:left="360"/>
      </w:pPr>
      <w:r/>
      <w:r>
        <w:rPr>
          <w:rFonts w:ascii="Calibri" w:hAnsi="Calibri"/>
          <w:sz w:val="22"/>
        </w:rPr>
        <w:t>F-105 entry present with reference_status=“invalid_confirmed” (skip canonical_derived, preserve reported).</w:t>
      </w:r>
    </w:p>
    <w:p>
      <w:pPr>
        <w:spacing w:after="120"/>
      </w:pPr>
      <w:r>
        <w:rPr>
          <w:rFonts w:ascii="Calibri" w:hAnsi="Calibri"/>
          <w:b w:val="0"/>
          <w:i w:val="0"/>
          <w:sz w:val="22"/>
        </w:rPr>
        <w:t>Response: the pipeline emits the record with the anomaly encoded on the taxonomies[] element (reference_status, warning, absent flags where appropriate), emits a structured observability event (§9), increments the run's anomaly counter, and continues. Record-level anomalies MUST NOT terminate the pipeline run.</w:t>
      </w:r>
    </w:p>
    <w:p>
      <w:pPr>
        <w:pStyle w:val="Heading2"/>
      </w:pPr>
      <w:r>
        <w:rPr>
          <w:rFonts w:ascii="Calibri" w:hAnsi="Calibri"/>
        </w:rPr>
        <w:t>7.2 Artifact-level failure</w:t>
      </w:r>
    </w:p>
    <w:p>
      <w:pPr>
        <w:spacing w:after="120"/>
      </w:pPr>
      <w:r>
        <w:rPr>
          <w:rFonts w:ascii="Calibri" w:hAnsi="Calibri"/>
          <w:b w:val="0"/>
          <w:i w:val="0"/>
          <w:sz w:val="22"/>
        </w:rPr>
        <w:t>An artifact-level failure is a condition under which the pipeline cannot produce a reliable enriched artifact at all. Examples:</w:t>
      </w:r>
    </w:p>
    <w:p>
      <w:pPr>
        <w:pStyle w:val="ListBullet"/>
        <w:spacing w:after="60"/>
        <w:ind w:left="360"/>
      </w:pPr>
      <w:r/>
      <w:r>
        <w:rPr>
          <w:rFonts w:ascii="Calibri" w:hAnsi="Calibri"/>
          <w:sz w:val="22"/>
        </w:rPr>
        <w:t>The NUCC current-version CSV cannot be loaded (missing, corrupted, schema changed beyond parser tolerance).</w:t>
      </w:r>
    </w:p>
    <w:p>
      <w:pPr>
        <w:pStyle w:val="ListBullet"/>
        <w:spacing w:after="60"/>
        <w:ind w:left="360"/>
      </w:pPr>
      <w:r/>
      <w:r>
        <w:rPr>
          <w:rFonts w:ascii="Calibri" w:hAnsi="Calibri"/>
          <w:sz w:val="22"/>
        </w:rPr>
        <w:t>The F-105 catalog cannot be loaded (missing, malformed JSON, schema violation).</w:t>
      </w:r>
    </w:p>
    <w:p>
      <w:pPr>
        <w:pStyle w:val="ListBullet"/>
        <w:spacing w:after="60"/>
        <w:ind w:left="360"/>
      </w:pPr>
      <w:r/>
      <w:r>
        <w:rPr>
          <w:rFonts w:ascii="Calibri" w:hAnsi="Calibri"/>
          <w:sz w:val="22"/>
        </w:rPr>
        <w:t>The anomaly rate across the run exceeds a configured threshold (default: 1% of records producing at least one Case C or Case D anomaly). This indicates either an NPPES data-quality incident or an F-105 curation gap that MUST be surfaced before shipping downstream artifacts.</w:t>
      </w:r>
    </w:p>
    <w:p>
      <w:pPr>
        <w:pStyle w:val="ListBullet"/>
        <w:spacing w:after="60"/>
        <w:ind w:left="360"/>
      </w:pPr>
      <w:r/>
      <w:r>
        <w:rPr>
          <w:rFonts w:ascii="Calibri" w:hAnsi="Calibri"/>
          <w:sz w:val="22"/>
        </w:rPr>
        <w:t>Structural validation of an enriched record fails (a bug in enrichment code, not a terminology anomaly).</w:t>
      </w:r>
    </w:p>
    <w:p>
      <w:pPr>
        <w:spacing w:after="120"/>
      </w:pPr>
      <w:r>
        <w:rPr>
          <w:rFonts w:ascii="Calibri" w:hAnsi="Calibri"/>
          <w:b w:val="0"/>
          <w:i w:val="0"/>
          <w:sz w:val="22"/>
        </w:rPr>
        <w:t>Response: the pipeline aborts the run with a structured cause code, and downstream deploys are blocked until the cause is resolved.</w:t>
      </w:r>
    </w:p>
    <w:p>
      <w:pPr>
        <w:pStyle w:val="Heading2"/>
      </w:pPr>
      <w:r>
        <w:rPr>
          <w:rFonts w:ascii="Calibri" w:hAnsi="Calibri"/>
        </w:rPr>
        <w:t>7.3 Run status enum</w:t>
      </w:r>
    </w:p>
    <w:p>
      <w:pPr>
        <w:spacing w:after="120"/>
      </w:pPr>
      <w:r>
        <w:rPr>
          <w:rFonts w:ascii="Calibri" w:hAnsi="Calibri"/>
          <w:b w:val="0"/>
          <w:i w:val="0"/>
          <w:sz w:val="22"/>
        </w:rPr>
        <w:t>Every run terminates in exactly one of these states:</w:t>
      </w:r>
    </w:p>
    <w:p>
      <w:pPr>
        <w:pStyle w:val="ListBullet"/>
        <w:spacing w:after="60"/>
        <w:ind w:left="360"/>
      </w:pPr>
      <w:r/>
      <w:r>
        <w:rPr>
          <w:rFonts w:ascii="Calibri" w:hAnsi="Calibri"/>
          <w:sz w:val="22"/>
        </w:rPr>
        <w:t>SUCCESS — all records enriched, anomaly count within configured threshold.</w:t>
      </w:r>
    </w:p>
    <w:p>
      <w:pPr>
        <w:pStyle w:val="ListBullet"/>
        <w:spacing w:after="60"/>
        <w:ind w:left="360"/>
      </w:pPr>
      <w:r/>
      <w:r>
        <w:rPr>
          <w:rFonts w:ascii="Calibri" w:hAnsi="Calibri"/>
          <w:sz w:val="22"/>
        </w:rPr>
        <w:t>SUCCESS_WITH_ANOMALIES — all records enriched, anomaly count below the artifact-fail threshold but non-zero. Downstream deploy proceeds; curator is notified of the outstanding anomaly list for the next reconciliation cycle.</w:t>
      </w:r>
    </w:p>
    <w:p>
      <w:pPr>
        <w:pStyle w:val="ListBullet"/>
        <w:spacing w:after="60"/>
        <w:ind w:left="360"/>
      </w:pPr>
      <w:r/>
      <w:r>
        <w:rPr>
          <w:rFonts w:ascii="Calibri" w:hAnsi="Calibri"/>
          <w:sz w:val="22"/>
        </w:rPr>
        <w:t>FAILURE_ARTIFACT — pipeline aborted before producing a shippable artifact. Downstream deploy blocked. Cause code identifies the specific failure.</w:t>
      </w:r>
    </w:p>
    <w:p>
      <w:pPr>
        <w:pStyle w:val="ListBullet"/>
        <w:spacing w:after="60"/>
        <w:ind w:left="360"/>
      </w:pPr>
      <w:r/>
      <w:r>
        <w:rPr>
          <w:rFonts w:ascii="Calibri" w:hAnsi="Calibri"/>
          <w:sz w:val="22"/>
        </w:rPr>
        <w:t>FAILURE_INFRASTRUCTURE — pipeline aborted due to a substrate condition unrelated to the data (Azure, Mongo, network). Retry-safe.</w:t>
      </w:r>
    </w:p>
    <w:p>
      <w:r>
        <w:br w:type="page"/>
      </w:r>
    </w:p>
    <w:p>
      <w:pPr>
        <w:pStyle w:val="Heading1"/>
      </w:pPr>
      <w:r>
        <w:rPr>
          <w:rFonts w:ascii="Calibri" w:hAnsi="Calibri"/>
        </w:rPr>
        <w:t>8. Reference-Release Reconciliation — Handling a New NUCC Version</w:t>
      </w:r>
    </w:p>
    <w:p>
      <w:pPr>
        <w:spacing w:after="120"/>
      </w:pPr>
      <w:r>
        <w:rPr>
          <w:rFonts w:ascii="Calibri" w:hAnsi="Calibri"/>
          <w:b w:val="0"/>
          <w:i w:val="0"/>
          <w:sz w:val="22"/>
        </w:rPr>
        <w:t>NUCC publishes a new taxonomy version approximately every six months. Each release introduces some combination of: added codes, deleted codes, restructured groupings, and clarified definitions. The pattern requires a defined reconciliation process on each release. For a catalog of the expected size (≤ 100 repair-overlay entries plus ~800 straight imports), the process is:</w:t>
      </w:r>
    </w:p>
    <w:p>
      <w:pPr>
        <w:pStyle w:val="ListNumber"/>
        <w:spacing w:after="60"/>
        <w:ind w:left="360"/>
      </w:pPr>
      <w:r>
        <w:rPr>
          <w:rFonts w:ascii="Calibri" w:hAnsi="Calibri"/>
          <w:sz w:val="22"/>
        </w:rPr>
        <w:t>Ingest the new NUCC version into the pipeline's reference-registry staging layer. Preserve the prior NUCC version for diff purposes.</w:t>
      </w:r>
    </w:p>
    <w:p>
      <w:pPr>
        <w:pStyle w:val="ListNumber"/>
        <w:spacing w:after="60"/>
        <w:ind w:left="360"/>
      </w:pPr>
      <w:r>
        <w:rPr>
          <w:rFonts w:ascii="Calibri" w:hAnsi="Calibri"/>
          <w:sz w:val="22"/>
        </w:rPr>
        <w:t>Compute a diff of the two NUCC versions: added codes, deleted codes, and codes whose display / grouping / classification / specialization / definition / section changed.</w:t>
      </w:r>
    </w:p>
    <w:p>
      <w:pPr>
        <w:pStyle w:val="ListNumber"/>
        <w:spacing w:after="60"/>
        <w:ind w:left="360"/>
      </w:pPr>
      <w:r>
        <w:rPr>
          <w:rFonts w:ascii="Calibri" w:hAnsi="Calibri"/>
          <w:sz w:val="22"/>
        </w:rPr>
        <w:t>For each ADDED NUCC code, check whether F-105 has an entry with the same code and reference_status ∈ {historical_reference, records_registry_only}. If yes, flag for curator: the code has been re-added and the F-105 entry should flip to current_reference, dropping any curated_display in favor of the new NUCC display.</w:t>
      </w:r>
    </w:p>
    <w:p>
      <w:pPr>
        <w:pStyle w:val="ListNumber"/>
        <w:spacing w:after="60"/>
        <w:ind w:left="360"/>
      </w:pPr>
      <w:r>
        <w:rPr>
          <w:rFonts w:ascii="Calibri" w:hAnsi="Calibri"/>
          <w:sz w:val="22"/>
        </w:rPr>
        <w:t>For each DELETED NUCC code, check whether F-105 has an entry with the same code and reference_status=“current_reference.” If yes, flag for curator: the code has been retired; the F-105 entry should flip to historical_reference, capture the last-known display as curated_display, and the curator should consider whether a canonical mapping target exists in the new NUCC.</w:t>
      </w:r>
    </w:p>
    <w:p>
      <w:pPr>
        <w:pStyle w:val="ListNumber"/>
        <w:spacing w:after="60"/>
        <w:ind w:left="360"/>
      </w:pPr>
      <w:r>
        <w:rPr>
          <w:rFonts w:ascii="Calibri" w:hAnsi="Calibri"/>
          <w:sz w:val="22"/>
        </w:rPr>
        <w:t>For each F-105 mapping entry whose target_code was DELETED by the new NUCC, flag for curator: the mapping is broken and MUST be re-approved against a new target or marked draft (§5.3 Case D).</w:t>
      </w:r>
    </w:p>
    <w:p>
      <w:pPr>
        <w:pStyle w:val="ListNumber"/>
        <w:spacing w:after="60"/>
        <w:ind w:left="360"/>
      </w:pPr>
      <w:r>
        <w:rPr>
          <w:rFonts w:ascii="Calibri" w:hAnsi="Calibri"/>
          <w:sz w:val="22"/>
        </w:rPr>
        <w:t>For every F-105 entry not flagged by steps 3–5, update last_verified_reference_version to the new NUCC version. This is the “verified-against” checkpoint referenced in §4.6.</w:t>
      </w:r>
    </w:p>
    <w:p>
      <w:pPr>
        <w:pStyle w:val="ListNumber"/>
        <w:spacing w:after="60"/>
        <w:ind w:left="360"/>
      </w:pPr>
      <w:r>
        <w:rPr>
          <w:rFonts w:ascii="Calibri" w:hAnsi="Calibri"/>
          <w:sz w:val="22"/>
        </w:rPr>
        <w:t>Curator processes the flagged list, produces a new draft catalog version, reviews and approves the diff, and publishes the new F-105 catalog with an incremented catalog_version.</w:t>
      </w:r>
    </w:p>
    <w:p>
      <w:pPr>
        <w:pStyle w:val="ListNumber"/>
        <w:spacing w:after="60"/>
        <w:ind w:left="360"/>
      </w:pPr>
      <w:r>
        <w:rPr>
          <w:rFonts w:ascii="Calibri" w:hAnsi="Calibri"/>
          <w:sz w:val="22"/>
        </w:rPr>
        <w:t>Pipeline runs a full reconciliation enrichment against the current NPPES snapshot with the new NUCC version and the new F-105 catalog. Anomaly rate is compared to the prior release baseline; a sudden spike is investigated before shipping.</w:t>
      </w:r>
    </w:p>
    <w:p>
      <w:pPr>
        <w:spacing w:after="120"/>
      </w:pPr>
      <w:r>
        <w:rPr>
          <w:rFonts w:ascii="Calibri" w:hAnsi="Calibri"/>
          <w:b w:val="0"/>
          <w:i w:val="0"/>
          <w:sz w:val="22"/>
        </w:rPr>
        <w:t>The pattern deliberately keeps this checklist short. Elaborate multi-stage reconciliation processes (twelve steps or more) are appropriate for large hospital terminology teams managing thousands of local codes; for a repair-overlay catalog of the expected size, the eight-step process above captures the required governance without ceremonial overhead.</w:t>
      </w:r>
    </w:p>
    <w:p>
      <w:r>
        <w:br w:type="page"/>
      </w:r>
    </w:p>
    <w:p>
      <w:pPr>
        <w:pStyle w:val="Heading1"/>
      </w:pPr>
      <w:r>
        <w:rPr>
          <w:rFonts w:ascii="Calibri" w:hAnsi="Calibri"/>
        </w:rPr>
        <w:t>9. Observability — Structured Events per Repaired / Derived / Unresolved Code</w:t>
      </w:r>
    </w:p>
    <w:p>
      <w:pPr>
        <w:spacing w:after="120"/>
      </w:pPr>
      <w:r>
        <w:rPr>
          <w:rFonts w:ascii="Calibri" w:hAnsi="Calibri"/>
          <w:b w:val="0"/>
          <w:i w:val="0"/>
          <w:sz w:val="22"/>
        </w:rPr>
        <w:t>Every enrichment run emits structured events that make the drift-repair activity visible without requiring a curator to read raw pipeline logs. The event schema is:</w:t>
      </w:r>
    </w:p>
    <w:p>
      <w:pPr>
        <w:spacing w:after="120" w:before="80"/>
        <w:ind w:left="360"/>
        <w:shd w:val="clear" w:color="auto" w:fill="F2F2F2"/>
      </w:pPr>
      <w:r>
        <w:rPr>
          <w:rFonts w:ascii="Courier New" w:hAnsi="Courier New"/>
          <w:sz w:val="18"/>
        </w:rPr>
        <w:t>{</w:t>
        <w:br/>
      </w:r>
      <w:r>
        <w:rPr>
          <w:rFonts w:ascii="Courier New" w:hAnsi="Courier New"/>
          <w:sz w:val="18"/>
        </w:rPr>
        <w:t xml:space="preserve">  "event":        "taxonomy_enrichment",</w:t>
        <w:br/>
      </w:r>
      <w:r>
        <w:rPr>
          <w:rFonts w:ascii="Courier New" w:hAnsi="Courier New"/>
          <w:sz w:val="18"/>
        </w:rPr>
        <w:t xml:space="preserve">  "run_id":       "run-2026-08-01T05:14:22Z-a91f",</w:t>
        <w:br/>
      </w:r>
      <w:r>
        <w:rPr>
          <w:rFonts w:ascii="Courier New" w:hAnsi="Courier New"/>
          <w:sz w:val="18"/>
        </w:rPr>
        <w:t xml:space="preserve">  "npi":          "1417801002",</w:t>
        <w:br/>
      </w:r>
      <w:r>
        <w:rPr>
          <w:rFonts w:ascii="Courier New" w:hAnsi="Courier New"/>
          <w:sz w:val="18"/>
        </w:rPr>
        <w:t xml:space="preserve">  "reported_code": "246ZS0400X",</w:t>
        <w:br/>
      </w:r>
      <w:r>
        <w:rPr>
          <w:rFonts w:ascii="Courier New" w:hAnsi="Courier New"/>
          <w:sz w:val="18"/>
        </w:rPr>
        <w:t xml:space="preserve">  "case":         "A" | "B" | "C" | "D",</w:t>
        <w:br/>
      </w:r>
      <w:r>
        <w:rPr>
          <w:rFonts w:ascii="Courier New" w:hAnsi="Courier New"/>
          <w:sz w:val="18"/>
        </w:rPr>
        <w:t xml:space="preserve">  "reference_status": "records_registry_only",</w:t>
        <w:br/>
      </w:r>
      <w:r>
        <w:rPr>
          <w:rFonts w:ascii="Courier New" w:hAnsi="Courier New"/>
          <w:sz w:val="18"/>
        </w:rPr>
        <w:t xml:space="preserve">  "canonical_derived_code": "246ZS0410X"           // absent for Case A / C / D</w:t>
        <w:br/>
      </w:r>
      <w:r>
        <w:rPr>
          <w:rFonts w:ascii="Courier New" w:hAnsi="Courier New"/>
          <w:sz w:val="18"/>
        </w:rPr>
        <w:t xml:space="preserve">  "canonical_derived_relationship": "possibly-equivalent-to", // ditto</w:t>
        <w:br/>
      </w:r>
      <w:r>
        <w:rPr>
          <w:rFonts w:ascii="Courier New" w:hAnsi="Courier New"/>
          <w:sz w:val="18"/>
        </w:rPr>
        <w:t xml:space="preserve">  "warning":      "code_not_in_current_nucc_v261",</w:t>
        <w:br/>
      </w:r>
      <w:r>
        <w:rPr>
          <w:rFonts w:ascii="Courier New" w:hAnsi="Courier New"/>
          <w:sz w:val="18"/>
        </w:rPr>
        <w:t xml:space="preserve">  "flags_source": "F105:2026-08-01",</w:t>
        <w:br/>
      </w:r>
      <w:r>
        <w:rPr>
          <w:rFonts w:ascii="Courier New" w:hAnsi="Courier New"/>
          <w:sz w:val="18"/>
        </w:rPr>
        <w:t xml:space="preserve">  "flags":        { "can_prescribe": false, "homeopathic": false },</w:t>
        <w:br/>
      </w:r>
      <w:r>
        <w:rPr>
          <w:rFonts w:ascii="Courier New" w:hAnsi="Courier New"/>
          <w:sz w:val="18"/>
        </w:rPr>
        <w:t xml:space="preserve">  "nucc_version": "v261",</w:t>
        <w:br/>
      </w:r>
      <w:r>
        <w:rPr>
          <w:rFonts w:ascii="Courier New" w:hAnsi="Courier New"/>
          <w:sz w:val="18"/>
        </w:rPr>
        <w:t xml:space="preserve">  "catalog_version": "F105:2026-08-01"</w:t>
        <w:br/>
      </w:r>
      <w:r>
        <w:rPr>
          <w:rFonts w:ascii="Courier New" w:hAnsi="Courier New"/>
          <w:sz w:val="18"/>
        </w:rPr>
        <w:t>}</w:t>
        <w:br/>
      </w:r>
    </w:p>
    <w:p>
      <w:pPr>
        <w:spacing w:after="120"/>
      </w:pPr>
      <w:r>
        <w:rPr>
          <w:rFonts w:ascii="Calibri" w:hAnsi="Calibri"/>
          <w:b/>
          <w:i w:val="0"/>
          <w:sz w:val="22"/>
        </w:rPr>
        <w:t>Aggregate counters per run include:</w:t>
      </w:r>
    </w:p>
    <w:p>
      <w:pPr>
        <w:pStyle w:val="ListBullet"/>
        <w:spacing w:after="60"/>
        <w:ind w:left="360"/>
      </w:pPr>
      <w:r/>
      <w:r>
        <w:rPr>
          <w:rFonts w:ascii="Calibri" w:hAnsi="Calibri"/>
          <w:sz w:val="22"/>
        </w:rPr>
        <w:t>Total records enriched.</w:t>
      </w:r>
    </w:p>
    <w:p>
      <w:pPr>
        <w:pStyle w:val="ListBullet"/>
        <w:spacing w:after="60"/>
        <w:ind w:left="360"/>
      </w:pPr>
      <w:r/>
      <w:r>
        <w:rPr>
          <w:rFonts w:ascii="Calibri" w:hAnsi="Calibri"/>
          <w:sz w:val="22"/>
        </w:rPr>
        <w:t>Count by case (A / B / C / D).</w:t>
      </w:r>
    </w:p>
    <w:p>
      <w:pPr>
        <w:pStyle w:val="ListBullet"/>
        <w:spacing w:after="60"/>
        <w:ind w:left="360"/>
      </w:pPr>
      <w:r/>
      <w:r>
        <w:rPr>
          <w:rFonts w:ascii="Calibri" w:hAnsi="Calibri"/>
          <w:sz w:val="22"/>
        </w:rPr>
        <w:t>Count of records with at least one warning.</w:t>
      </w:r>
    </w:p>
    <w:p>
      <w:pPr>
        <w:pStyle w:val="ListBullet"/>
        <w:spacing w:after="60"/>
        <w:ind w:left="360"/>
      </w:pPr>
      <w:r/>
      <w:r>
        <w:rPr>
          <w:rFonts w:ascii="Calibri" w:hAnsi="Calibri"/>
          <w:sz w:val="22"/>
        </w:rPr>
        <w:t>Distinct unresolved code list (feeds the next curation review).</w:t>
      </w:r>
    </w:p>
    <w:p>
      <w:pPr>
        <w:pStyle w:val="ListBullet"/>
        <w:spacing w:after="60"/>
        <w:ind w:left="360"/>
      </w:pPr>
      <w:r/>
      <w:r>
        <w:rPr>
          <w:rFonts w:ascii="Calibri" w:hAnsi="Calibri"/>
          <w:sz w:val="22"/>
        </w:rPr>
        <w:t>Distinct broken-mapping code list (Case D).</w:t>
      </w:r>
    </w:p>
    <w:p>
      <w:pPr>
        <w:pStyle w:val="ListBullet"/>
        <w:spacing w:after="60"/>
        <w:ind w:left="360"/>
      </w:pPr>
      <w:r/>
      <w:r>
        <w:rPr>
          <w:rFonts w:ascii="Calibri" w:hAnsi="Calibri"/>
          <w:sz w:val="22"/>
        </w:rPr>
        <w:t>Time to first record and time to full-artifact completion (unaffected by the pattern but useful for regression tracking).</w:t>
      </w:r>
    </w:p>
    <w:p>
      <w:pPr>
        <w:spacing w:after="120"/>
      </w:pPr>
      <w:r>
        <w:rPr>
          <w:rFonts w:ascii="Calibri" w:hAnsi="Calibri"/>
          <w:b w:val="0"/>
          <w:i w:val="0"/>
          <w:sz w:val="22"/>
        </w:rPr>
        <w:t>The distinct unresolved code list is the primary artifact that drives the curator's next reconciliation cycle. It is emitted as a separate structured artifact and stored alongside the run's output so it is discoverable without log-diving.</w:t>
      </w:r>
    </w:p>
    <w:p>
      <w:r>
        <w:br w:type="page"/>
      </w:r>
    </w:p>
    <w:p>
      <w:pPr>
        <w:pStyle w:val="Heading1"/>
      </w:pPr>
      <w:r>
        <w:rPr>
          <w:rFonts w:ascii="Calibri" w:hAnsi="Calibri"/>
        </w:rPr>
        <w:t>10. Rejected Alternatives</w:t>
      </w:r>
    </w:p>
    <w:p>
      <w:pPr>
        <w:spacing w:after="120"/>
      </w:pPr>
      <w:r>
        <w:rPr>
          <w:rFonts w:ascii="Calibri" w:hAnsi="Calibri"/>
          <w:b w:val="0"/>
          <w:i w:val="0"/>
          <w:sz w:val="22"/>
        </w:rPr>
        <w:t>Each rejected alternative below was considered as a design candidate. The rationale for rejection is documented so that the same alternative is not casually re-proposed in a future refactor without re-engaging the reasoning.</w:t>
      </w:r>
    </w:p>
    <w:p>
      <w:pPr>
        <w:pStyle w:val="Heading2"/>
      </w:pPr>
      <w:r>
        <w:rPr>
          <w:rFonts w:ascii="Calibri" w:hAnsi="Calibri"/>
        </w:rPr>
        <w:t>10.1 Silent substitution of reported code with mapping target</w:t>
      </w:r>
    </w:p>
    <w:p>
      <w:pPr>
        <w:spacing w:after="120"/>
      </w:pPr>
      <w:r>
        <w:rPr>
          <w:rFonts w:ascii="Calibri" w:hAnsi="Calibri"/>
          <w:b w:val="0"/>
          <w:i w:val="0"/>
          <w:sz w:val="22"/>
        </w:rPr>
        <w:t>Design: on encountering a reported code with an F-105 mapping, rewrite the provider record's primary_taxonomy_code field to the mapping target and discard the reported code.</w:t>
      </w:r>
    </w:p>
    <w:p>
      <w:pPr>
        <w:spacing w:after="120"/>
      </w:pPr>
      <w:r>
        <w:rPr>
          <w:rFonts w:ascii="Calibri" w:hAnsi="Calibri"/>
          <w:b w:val="0"/>
          <w:i w:val="0"/>
          <w:sz w:val="22"/>
        </w:rPr>
        <w:t>Rejected because: this directly violates the three-way authority model (§3.4). NPPES is authoritative for what code was reported; silent substitution would let the F-105 catalog overwrite NPPES's assertion without recording that any conversion took place. It would also break every audit path: a downstream regulator asking “why does your record say 246ZS0410X for a provider who registered as 246ZS0400X in NPPES” would have no answer. The FHIR ConceptMap $translate operation is explicitly not defined as a silent rewrite for the same reason.</w:t>
      </w:r>
    </w:p>
    <w:p>
      <w:pPr>
        <w:pStyle w:val="Heading2"/>
      </w:pPr>
      <w:r>
        <w:rPr>
          <w:rFonts w:ascii="Calibri" w:hAnsi="Calibri"/>
        </w:rPr>
        <w:t>10.2 Boolean-only broken_source_data flag</w:t>
      </w:r>
    </w:p>
    <w:p>
      <w:pPr>
        <w:spacing w:after="120"/>
      </w:pPr>
      <w:r>
        <w:rPr>
          <w:rFonts w:ascii="Calibri" w:hAnsi="Calibri"/>
          <w:b w:val="0"/>
          <w:i w:val="0"/>
          <w:sz w:val="22"/>
        </w:rPr>
        <w:t>Design: replace the six-value reference_status enum with a single boolean, e.g. broken_source_data: true|false.</w:t>
      </w:r>
    </w:p>
    <w:p>
      <w:pPr>
        <w:spacing w:after="120"/>
      </w:pPr>
      <w:r>
        <w:rPr>
          <w:rFonts w:ascii="Calibri" w:hAnsi="Calibri"/>
          <w:b w:val="0"/>
          <w:i w:val="0"/>
          <w:sz w:val="22"/>
        </w:rPr>
        <w:t>Rejected because: a boolean collapses too much information. The pattern needs downstream consumers to be able to distinguish “retired in current NUCC but was standard once” from “never in NUCC at any version” from “unresolved / not yet triaged” from “confirmed invalid.” Each of these implies different rendering, different filtering, different escalation behavior, and different curator action. A boolean cannot carry those distinctions. This is also why FHIR CodeSystem carries a concept.status field with multiple values (active | experimental | deprecated | retired), not a boolean.</w:t>
      </w:r>
    </w:p>
    <w:p>
      <w:pPr>
        <w:pStyle w:val="Heading2"/>
      </w:pPr>
      <w:r>
        <w:rPr>
          <w:rFonts w:ascii="Calibri" w:hAnsi="Calibri"/>
        </w:rPr>
        <w:t>10.3 Dedicated separate mapping catalog file</w:t>
      </w:r>
    </w:p>
    <w:p>
      <w:pPr>
        <w:spacing w:after="120"/>
      </w:pPr>
      <w:r>
        <w:rPr>
          <w:rFonts w:ascii="Calibri" w:hAnsi="Calibri"/>
          <w:b w:val="0"/>
          <w:i w:val="0"/>
          <w:sz w:val="22"/>
        </w:rPr>
        <w:t>Design: keep F-105 for flags, but create a separate JSON file (F-106?) for cross-code mappings.</w:t>
      </w:r>
    </w:p>
    <w:p>
      <w:pPr>
        <w:spacing w:after="120"/>
      </w:pPr>
      <w:r>
        <w:rPr>
          <w:rFonts w:ascii="Calibri" w:hAnsi="Calibri"/>
          <w:b w:val="0"/>
          <w:i w:val="0"/>
          <w:sz w:val="22"/>
        </w:rPr>
        <w:t>Rejected because: fragmenting governance across two catalog files makes it possible for the flag catalog and the mapping catalog to disagree about a code's status (e.g., flags catalog says approved, mapping catalog says draft). F-105 is the single source of truth for all product-authored taxonomy content; embedding the mapping as related_taxonomies inside the F-105 entry keeps the governance atomic. This mirrors FHIR's convention of nesting Coding elements inside CodeableConcept rather than shipping parallel lookup tables.</w:t>
      </w:r>
    </w:p>
    <w:p>
      <w:pPr>
        <w:pStyle w:val="Heading2"/>
      </w:pPr>
      <w:r>
        <w:rPr>
          <w:rFonts w:ascii="Calibri" w:hAnsi="Calibri"/>
        </w:rPr>
        <w:t>10.4 Assigning safe defaults on unresolved codes</w:t>
      </w:r>
    </w:p>
    <w:p>
      <w:pPr>
        <w:spacing w:after="120"/>
      </w:pPr>
      <w:r>
        <w:rPr>
          <w:rFonts w:ascii="Calibri" w:hAnsi="Calibri"/>
          <w:b w:val="0"/>
          <w:i w:val="0"/>
          <w:sz w:val="22"/>
        </w:rPr>
        <w:t>Design: on Case C (unresolved code), default flags to safe values — typically can_prescribe=false, homeopathic=false — and emit the record without a warning.</w:t>
      </w:r>
    </w:p>
    <w:p>
      <w:pPr>
        <w:spacing w:after="120"/>
      </w:pPr>
      <w:r>
        <w:rPr>
          <w:rFonts w:ascii="Calibri" w:hAnsi="Calibri"/>
          <w:b w:val="0"/>
          <w:i w:val="0"/>
          <w:sz w:val="22"/>
        </w:rPr>
        <w:t>Rejected because: “false if we don't know” is a data-quality signal masquerading as a value. Downstream cannot distinguish “we curated this and the answer is false” from “we never triaged this and we're guessing false.” The pattern requires the curator to see unresolved codes as unresolved codes, not as codes with default values silently filled in. Case C explicitly omits flags for exactly this reason (§5.3 Case C example).</w:t>
      </w:r>
    </w:p>
    <w:p>
      <w:pPr>
        <w:pStyle w:val="Heading2"/>
      </w:pPr>
      <w:r>
        <w:rPr>
          <w:rFonts w:ascii="Calibri" w:hAnsi="Calibri"/>
        </w:rPr>
        <w:t>10.5 Fail-hard on unknown code</w:t>
      </w:r>
    </w:p>
    <w:p>
      <w:pPr>
        <w:spacing w:after="120"/>
      </w:pPr>
      <w:r>
        <w:rPr>
          <w:rFonts w:ascii="Calibri" w:hAnsi="Calibri"/>
          <w:b w:val="0"/>
          <w:i w:val="0"/>
          <w:sz w:val="22"/>
        </w:rPr>
        <w:t>Design: on any code not in current NUCC and not in F-105 with approved metadata, abort the entire pipeline run.</w:t>
      </w:r>
    </w:p>
    <w:p>
      <w:pPr>
        <w:spacing w:after="120"/>
      </w:pPr>
      <w:r>
        <w:rPr>
          <w:rFonts w:ascii="Calibri" w:hAnsi="Calibri"/>
          <w:b w:val="0"/>
          <w:i w:val="0"/>
          <w:sz w:val="22"/>
        </w:rPr>
        <w:t>Rejected because: this is the behavior that terminated the 2026-07-31 nationwide run. Registry drift is an unavoidable operational condition (§2); at 9.25M provider records some record-level anomalies are a certainty. Fail-hard on record-level anomaly conflates a per-record data condition with an artifact-level failure and prevents the pipeline from shipping. The correct response is to encode the anomaly as data on the record and continue, per §7.</w:t>
      </w:r>
    </w:p>
    <w:p>
      <w:r>
        <w:br w:type="page"/>
      </w:r>
    </w:p>
    <w:p>
      <w:pPr>
        <w:pStyle w:val="Heading1"/>
      </w:pPr>
      <w:r>
        <w:rPr>
          <w:rFonts w:ascii="Calibri" w:hAnsi="Calibri"/>
        </w:rPr>
        <w:t>11. References</w:t>
      </w:r>
    </w:p>
    <w:p>
      <w:pPr>
        <w:spacing w:after="120"/>
      </w:pPr>
      <w:r>
        <w:rPr>
          <w:rFonts w:ascii="Calibri" w:hAnsi="Calibri"/>
          <w:b/>
          <w:i w:val="0"/>
          <w:sz w:val="22"/>
        </w:rPr>
        <w:t>HL7 FHIR R5 specification pages cited in this document:</w:t>
      </w:r>
    </w:p>
    <w:p>
      <w:pPr>
        <w:pStyle w:val="ListBullet"/>
        <w:spacing w:after="60"/>
        <w:ind w:left="360"/>
      </w:pPr>
      <w:r/>
      <w:r>
        <w:rPr>
          <w:rFonts w:ascii="Calibri" w:hAnsi="Calibri"/>
          <w:sz w:val="22"/>
        </w:rPr>
        <w:t>CodeableConcept datatype — https://hl7.org/fhir/R5/datatypes.html#CodeableConcept</w:t>
      </w:r>
    </w:p>
    <w:p>
      <w:pPr>
        <w:pStyle w:val="ListBullet"/>
        <w:spacing w:after="60"/>
        <w:ind w:left="360"/>
      </w:pPr>
      <w:r/>
      <w:r>
        <w:rPr>
          <w:rFonts w:ascii="Calibri" w:hAnsi="Calibri"/>
          <w:sz w:val="22"/>
        </w:rPr>
        <w:t>Coding datatype — https://hl7.org/fhir/R5/datatypes.html#Coding</w:t>
      </w:r>
    </w:p>
    <w:p>
      <w:pPr>
        <w:pStyle w:val="ListBullet"/>
        <w:spacing w:after="60"/>
        <w:ind w:left="360"/>
      </w:pPr>
      <w:r/>
      <w:r>
        <w:rPr>
          <w:rFonts w:ascii="Calibri" w:hAnsi="Calibri"/>
          <w:sz w:val="22"/>
        </w:rPr>
        <w:t>CodeSystem resource — https://hl7.org/fhir/R5/codesystem.html</w:t>
      </w:r>
    </w:p>
    <w:p>
      <w:pPr>
        <w:pStyle w:val="ListBullet"/>
        <w:spacing w:after="60"/>
        <w:ind w:left="360"/>
      </w:pPr>
      <w:r/>
      <w:r>
        <w:rPr>
          <w:rFonts w:ascii="Calibri" w:hAnsi="Calibri"/>
          <w:sz w:val="22"/>
        </w:rPr>
        <w:t>CodeSystem supplements — https://hl7.org/fhir/R5/codesystem.html#supplements</w:t>
      </w:r>
    </w:p>
    <w:p>
      <w:pPr>
        <w:pStyle w:val="ListBullet"/>
        <w:spacing w:after="60"/>
        <w:ind w:left="360"/>
      </w:pPr>
      <w:r/>
      <w:r>
        <w:rPr>
          <w:rFonts w:ascii="Calibri" w:hAnsi="Calibri"/>
          <w:sz w:val="22"/>
        </w:rPr>
        <w:t>ConceptMap resource — https://hl7.org/fhir/R5/conceptmap.html</w:t>
      </w:r>
    </w:p>
    <w:p>
      <w:pPr>
        <w:pStyle w:val="ListBullet"/>
        <w:spacing w:after="60"/>
        <w:ind w:left="360"/>
      </w:pPr>
      <w:r/>
      <w:r>
        <w:rPr>
          <w:rFonts w:ascii="Calibri" w:hAnsi="Calibri"/>
          <w:sz w:val="22"/>
        </w:rPr>
        <w:t>ConceptMap relationship value set — https://hl7.org/fhir/R5/valueset-concept-map-relationship.html</w:t>
      </w:r>
    </w:p>
    <w:p>
      <w:pPr>
        <w:pStyle w:val="ListBullet"/>
        <w:spacing w:after="60"/>
        <w:ind w:left="360"/>
      </w:pPr>
      <w:r/>
      <w:r>
        <w:rPr>
          <w:rFonts w:ascii="Calibri" w:hAnsi="Calibri"/>
          <w:sz w:val="22"/>
        </w:rPr>
        <w:t>ConceptMap $translate operation — https://hl7.org/fhir/R5/operation-conceptmap-translate.html</w:t>
      </w:r>
    </w:p>
    <w:p>
      <w:pPr>
        <w:pStyle w:val="ListBullet"/>
        <w:spacing w:after="60"/>
        <w:ind w:left="360"/>
      </w:pPr>
      <w:r/>
      <w:r>
        <w:rPr>
          <w:rFonts w:ascii="Calibri" w:hAnsi="Calibri"/>
          <w:sz w:val="22"/>
        </w:rPr>
        <w:t>Extensibility — https://hl7.org/fhir/R5/extensibility.html</w:t>
      </w:r>
    </w:p>
    <w:p>
      <w:pPr>
        <w:pStyle w:val="ListBullet"/>
        <w:spacing w:after="60"/>
        <w:ind w:left="360"/>
      </w:pPr>
      <w:r/>
      <w:r>
        <w:rPr>
          <w:rFonts w:ascii="Calibri" w:hAnsi="Calibri"/>
          <w:sz w:val="22"/>
        </w:rPr>
        <w:t>Extensibility examples — https://hl7.org/fhir/R5/extensibility-examples.html</w:t>
      </w:r>
    </w:p>
    <w:p>
      <w:pPr>
        <w:pStyle w:val="ListBullet"/>
        <w:spacing w:after="60"/>
        <w:ind w:left="360"/>
      </w:pPr>
      <w:r/>
      <w:r>
        <w:rPr>
          <w:rFonts w:ascii="Calibri" w:hAnsi="Calibri"/>
          <w:sz w:val="22"/>
        </w:rPr>
        <w:t>Provenance resource — https://hl7.org/fhir/R5/provenance.html</w:t>
      </w:r>
    </w:p>
    <w:p>
      <w:pPr>
        <w:pStyle w:val="ListBullet"/>
        <w:spacing w:after="60"/>
        <w:ind w:left="360"/>
      </w:pPr>
      <w:r/>
      <w:r>
        <w:rPr>
          <w:rFonts w:ascii="Calibri" w:hAnsi="Calibri"/>
          <w:sz w:val="22"/>
        </w:rPr>
        <w:t>Validation — https://hl7.org/fhir/R5/validation.html</w:t>
      </w:r>
    </w:p>
    <w:p>
      <w:pPr>
        <w:spacing w:after="120"/>
      </w:pPr>
      <w:r>
        <w:rPr>
          <w:rFonts w:ascii="Calibri" w:hAnsi="Calibri"/>
          <w:b/>
          <w:i w:val="0"/>
          <w:sz w:val="22"/>
        </w:rPr>
        <w:t>Upstream authority sources:</w:t>
      </w:r>
    </w:p>
    <w:p>
      <w:pPr>
        <w:pStyle w:val="ListBullet"/>
        <w:spacing w:after="60"/>
        <w:ind w:left="360"/>
      </w:pPr>
      <w:r/>
      <w:r>
        <w:rPr>
          <w:rFonts w:ascii="Calibri" w:hAnsi="Calibri"/>
          <w:sz w:val="22"/>
        </w:rPr>
        <w:t>NUCC Health Care Provider Taxonomy Code Set — https://www.nucc.org (Provider Taxonomy Code Set publication page).</w:t>
      </w:r>
    </w:p>
    <w:p>
      <w:pPr>
        <w:pStyle w:val="ListBullet"/>
        <w:spacing w:after="60"/>
        <w:ind w:left="360"/>
      </w:pPr>
      <w:r/>
      <w:r>
        <w:rPr>
          <w:rFonts w:ascii="Calibri" w:hAnsi="Calibri"/>
          <w:sz w:val="22"/>
        </w:rPr>
        <w:t>CMS NPPES NPI Registry API documentation — https://npiregistry.cms.hhs.gov/registry/help-api</w:t>
      </w:r>
    </w:p>
    <w:p>
      <w:pPr>
        <w:pStyle w:val="ListBullet"/>
        <w:spacing w:after="60"/>
        <w:ind w:left="360"/>
      </w:pPr>
      <w:r/>
      <w:r>
        <w:rPr>
          <w:rFonts w:ascii="Calibri" w:hAnsi="Calibri"/>
          <w:sz w:val="22"/>
        </w:rPr>
        <w:t>CMS NPPES data dissemination — https://download.cms.gov/nppes/NPI_Files.html</w:t>
      </w:r>
    </w:p>
    <w:p>
      <w:pPr>
        <w:spacing w:after="120"/>
      </w:pPr>
      <w:r>
        <w:rPr>
          <w:rFonts w:ascii="Calibri" w:hAnsi="Calibri"/>
          <w:b/>
          <w:i w:val="0"/>
          <w:sz w:val="22"/>
        </w:rPr>
        <w:t>ChatHealthy.ai internal artifacts referenced:</w:t>
      </w:r>
    </w:p>
    <w:p>
      <w:pPr>
        <w:pStyle w:val="ListBullet"/>
        <w:spacing w:after="60"/>
        <w:ind w:left="360"/>
      </w:pPr>
      <w:r/>
      <w:r>
        <w:rPr>
          <w:rFonts w:ascii="Calibri" w:hAnsi="Calibri"/>
          <w:sz w:val="22"/>
        </w:rPr>
        <w:t>F-105 proprietary flags and repair-overlay catalog — Website/Data/specialty_classification_gpt41.json</w:t>
      </w:r>
    </w:p>
    <w:p>
      <w:pPr>
        <w:pStyle w:val="ListBullet"/>
        <w:spacing w:after="60"/>
        <w:ind w:left="360"/>
      </w:pPr>
      <w:r/>
      <w:r>
        <w:rPr>
          <w:rFonts w:ascii="Calibri" w:hAnsi="Calibri"/>
          <w:sz w:val="22"/>
        </w:rPr>
        <w:t>Provider Pipeline low-level design — pipeline/ArchitectureDesignAndAudit/ProviderPipeline_LowLevelDesign_v41.docx</w:t>
      </w:r>
    </w:p>
    <w:p>
      <w:pPr>
        <w:pStyle w:val="ListBullet"/>
        <w:spacing w:after="60"/>
        <w:ind w:left="360"/>
      </w:pPr>
      <w:r/>
      <w:r>
        <w:rPr>
          <w:rFonts w:ascii="Calibri" w:hAnsi="Calibri"/>
          <w:sz w:val="22"/>
        </w:rPr>
        <w:t>EPIC-010-F-103 Provider Pipeline / EPIC-010-F-104 Specialty Pipeline / EPIC-010-F-105 Proprietary Provider and Specialty Flags (agile_backlog.json).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