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200"/>
        <w:jc w:val="left"/>
      </w:pPr>
      <w:r>
        <w:rPr>
          <w:rFonts w:ascii="Arial" w:cs="Arial" w:eastAsia="Arial" w:hAnsi="Arial"/>
          <w:b/>
          <w:bCs/>
          <w:color w:val="28251D"/>
          <w:sz w:val="52"/>
          <w:szCs w:val="52"/>
        </w:rPr>
        <w:t xml:space="preserve">External Audit Report</w:t>
      </w:r>
    </w:p>
    <w:p>
      <w:pPr>
        <w:spacing w:after="40" w:before="0"/>
        <w:jc w:val="left"/>
      </w:pPr>
      <w:r>
        <w:rPr>
          <w:rFonts w:ascii="Arial" w:cs="Arial" w:eastAsia="Arial" w:hAnsi="Arial"/>
          <w:color w:val="01696F"/>
          <w:sz w:val="36"/>
          <w:szCs w:val="36"/>
        </w:rPr>
        <w:t xml:space="preserve">ChatHealthy.ai Platform Review</w:t>
      </w:r>
    </w:p>
    <w:p>
      <w:pPr>
        <w:pBdr>
          <w:bottom w:val="single" w:color="01696F" w:sz="6"/>
        </w:pBdr>
        <w:spacing w:after="120" w:before="120"/>
      </w:pPr>
    </w:p>
    <w:p>
      <w:pPr>
        <w:spacing w:after="120" w:before="120"/>
      </w:pPr>
      <w:r>
        <w:rPr>
          <w:rFonts w:ascii="Arial" w:cs="Arial" w:eastAsia="Arial" w:hAnsi="Arial"/>
          <w:b/>
          <w:bCs/>
          <w:color w:val="7A7974"/>
          <w:sz w:val="22"/>
          <w:szCs w:val="22"/>
        </w:rPr>
        <w:t xml:space="preserve">Prepared by: </w:t>
      </w:r>
      <w:r>
        <w:rPr>
          <w:rFonts w:ascii="Arial" w:cs="Arial" w:eastAsia="Arial" w:hAnsi="Arial"/>
          <w:color w:val="28251D"/>
          <w:sz w:val="22"/>
          <w:szCs w:val="22"/>
        </w:rPr>
        <w:t xml:space="preserve">Perplexity Computer, External Auditor</w:t>
      </w:r>
    </w:p>
    <w:p>
      <w:pPr>
        <w:spacing w:after="120" w:before="120"/>
      </w:pPr>
      <w:r>
        <w:rPr>
          <w:rFonts w:ascii="Arial" w:cs="Arial" w:eastAsia="Arial" w:hAnsi="Arial"/>
          <w:b/>
          <w:bCs/>
          <w:color w:val="7A7974"/>
          <w:sz w:val="22"/>
          <w:szCs w:val="22"/>
        </w:rPr>
        <w:t xml:space="preserve">Date: </w:t>
      </w:r>
      <w:r>
        <w:rPr>
          <w:rFonts w:ascii="Arial" w:cs="Arial" w:eastAsia="Arial" w:hAnsi="Arial"/>
          <w:color w:val="28251D"/>
          <w:sz w:val="22"/>
          <w:szCs w:val="22"/>
        </w:rPr>
        <w:t xml:space="preserve">March 30, 2026</w:t>
      </w:r>
    </w:p>
    <w:p>
      <w:pPr>
        <w:spacing w:after="120" w:before="120"/>
      </w:pPr>
      <w:r>
        <w:rPr>
          <w:rFonts w:ascii="Arial" w:cs="Arial" w:eastAsia="Arial" w:hAnsi="Arial"/>
          <w:b/>
          <w:bCs/>
          <w:color w:val="7A7974"/>
          <w:sz w:val="22"/>
          <w:szCs w:val="22"/>
        </w:rPr>
        <w:t xml:space="preserve">Owner: </w:t>
      </w:r>
      <w:r>
        <w:rPr>
          <w:rFonts w:ascii="Arial" w:cs="Arial" w:eastAsia="Arial" w:hAnsi="Arial"/>
          <w:color w:val="28251D"/>
          <w:sz w:val="22"/>
          <w:szCs w:val="22"/>
        </w:rPr>
        <w:t xml:space="preserve">Skip Snow, CEO/CTO — ChatHealthy.ai</w:t>
      </w:r>
    </w:p>
    <w:p>
      <w:pPr>
        <w:spacing w:after="120" w:before="120"/>
      </w:pPr>
      <w:r>
        <w:rPr>
          <w:rFonts w:ascii="Arial" w:cs="Arial" w:eastAsia="Arial" w:hAnsi="Arial"/>
          <w:b/>
          <w:bCs/>
          <w:color w:val="7A7974"/>
          <w:sz w:val="22"/>
          <w:szCs w:val="22"/>
        </w:rPr>
        <w:t xml:space="preserve">Version: </w:t>
      </w:r>
      <w:r>
        <w:rPr>
          <w:rFonts w:ascii="Arial" w:cs="Arial" w:eastAsia="Arial" w:hAnsi="Arial"/>
          <w:color w:val="28251D"/>
          <w:sz w:val="22"/>
          <w:szCs w:val="22"/>
        </w:rPr>
        <w:t xml:space="preserve">1.0</w:t>
      </w:r>
    </w:p>
    <w:p>
      <w:r>
        <w:br w:type="page"/>
      </w:r>
    </w:p>
    <w:p>
      <w:pPr>
        <w:pStyle w:val="Heading1"/>
      </w:pPr>
      <w:r>
        <w:rPr>
          <w:rFonts w:ascii="Arial" w:cs="Arial" w:eastAsia="Arial" w:hAnsi="Arial"/>
        </w:rPr>
        <w:t xml:space="preserve">1. Executive Summary</w:t>
      </w:r>
    </w:p>
    <w:p>
      <w:pPr>
        <w:spacing w:after="120" w:before="120"/>
      </w:pPr>
      <w:r>
        <w:rPr>
          <w:rFonts w:ascii="Arial" w:cs="Arial" w:eastAsia="Arial" w:hAnsi="Arial"/>
          <w:color w:val="28251D"/>
          <w:sz w:val="22"/>
          <w:szCs w:val="22"/>
        </w:rPr>
        <w:t>ChatHealthy.ai demonstrates unusually coherent architecture and production-grade data engineering for a pre-alpha solo founder project. The three-app separation (Cloudflare static site, HuggingFace chat application, Azure Durable Functions pipelines) is clean and independently scalable. The Brain governance system — Claude as engineer, GPT as architect, and the human as tiebreaker — is a novel and effective software development lifecycle for an AI-native company with no human developers.</w:t>
      </w:r>
    </w:p>
    <w:p>
      <w:pPr>
        <w:spacing w:after="120" w:before="120"/>
      </w:pPr>
      <w:r>
        <w:rPr>
          <w:rFonts w:ascii="Arial" w:cs="Arial" w:eastAsia="Arial" w:hAnsi="Arial"/>
          <w:color w:val="28251D"/>
          <w:sz w:val="22"/>
          <w:szCs w:val="22"/>
        </w:rPr>
        <w:t xml:space="preserve">The primary risks are strategic (IP exposure, state coverage, regulatory positioning) rather than architectural. The platform is ready to proceed to Alpha with the caveats documented in this report.</w:t>
      </w:r>
    </w:p>
    <w:p>
      <w:pPr>
        <w:pStyle w:val="Heading1"/>
      </w:pPr>
      <w:r>
        <w:rPr>
          <w:rFonts w:ascii="Arial" w:cs="Arial" w:eastAsia="Arial" w:hAnsi="Arial"/>
        </w:rPr>
        <w:t xml:space="preserve">2. Scope</w:t>
      </w:r>
    </w:p>
    <w:p>
      <w:pPr>
        <w:spacing w:after="120" w:before="120"/>
      </w:pPr>
      <w:r>
        <w:rPr>
          <w:rFonts w:ascii="Arial" w:cs="Arial" w:eastAsia="Arial" w:hAnsi="Arial"/>
          <w:color w:val="28251D"/>
          <w:sz w:val="22"/>
          <w:szCs w:val="22"/>
        </w:rPr>
        <w:t xml:space="preserve">This audit reviewed the complete ChatHealthy.ai platform across eight documents and live system components:</w:t>
      </w:r>
    </w:p>
    <w:p>
      <w:pPr>
        <w:pStyle w:val="ListParagraph"/>
        <w:numPr>
          <w:ilvl w:val="0"/>
          <w:numId w:val="2"/>
        </w:numPr>
        <w:spacing w:after="40" w:before="40"/>
      </w:pPr>
      <w:hyperlink w:history="1" r:id="rId82qfuzoayz2bjxzzbn2ze">
        <w:r>
          <w:rPr>
            <w:rStyle w:val="Hyperlink"/>
            <w:rFonts w:ascii="Arial" w:cs="Arial" w:eastAsia="Arial" w:hAnsi="Arial"/>
            <w:sz w:val="20"/>
            <w:szCs w:val="20"/>
          </w:rPr>
          <w:t xml:space="preserve">Architecture Overview</w:t>
        </w:r>
      </w:hyperlink>
    </w:p>
    <w:p>
      <w:pPr>
        <w:pStyle w:val="ListParagraph"/>
        <w:numPr>
          <w:ilvl w:val="0"/>
          <w:numId w:val="2"/>
        </w:numPr>
        <w:spacing w:after="40" w:before="40"/>
      </w:pPr>
      <w:hyperlink w:history="1" r:id="rIdiw-duuunhkihc6exe6xak">
        <w:r>
          <w:rPr>
            <w:rStyle w:val="Hyperlink"/>
            <w:rFonts w:ascii="Arial" w:cs="Arial" w:eastAsia="Arial" w:hAnsi="Arial"/>
            <w:sz w:val="20"/>
            <w:szCs w:val="20"/>
          </w:rPr>
          <w:t xml:space="preserve">Chat App Design</w:t>
        </w:r>
      </w:hyperlink>
    </w:p>
    <w:p>
      <w:pPr>
        <w:pStyle w:val="ListParagraph"/>
        <w:numPr>
          <w:ilvl w:val="0"/>
          <w:numId w:val="2"/>
        </w:numPr>
        <w:spacing w:after="40" w:before="40"/>
      </w:pPr>
      <w:hyperlink w:history="1" r:id="rIdbmks3edqrhf_bzfedyjtk">
        <w:r>
          <w:rPr>
            <w:rStyle w:val="Hyperlink"/>
            <w:rFonts w:ascii="Arial" w:cs="Arial" w:eastAsia="Arial" w:hAnsi="Arial"/>
            <w:sz w:val="20"/>
            <w:szCs w:val="20"/>
          </w:rPr>
          <w:t xml:space="preserve">Provider Data Load Design</w:t>
        </w:r>
      </w:hyperlink>
    </w:p>
    <w:p>
      <w:pPr>
        <w:pStyle w:val="ListParagraph"/>
        <w:numPr>
          <w:ilvl w:val="0"/>
          <w:numId w:val="2"/>
        </w:numPr>
        <w:spacing w:after="40" w:before="40"/>
      </w:pPr>
      <w:hyperlink w:history="1" r:id="rId6lijmisryk7i1v-i2123n">
        <w:r>
          <w:rPr>
            <w:rStyle w:val="Hyperlink"/>
            <w:rFonts w:ascii="Arial" w:cs="Arial" w:eastAsia="Arial" w:hAnsi="Arial"/>
            <w:sz w:val="20"/>
            <w:szCs w:val="20"/>
          </w:rPr>
          <w:t xml:space="preserve">Product Roadmap</w:t>
        </w:r>
      </w:hyperlink>
    </w:p>
    <w:p>
      <w:pPr>
        <w:pStyle w:val="ListParagraph"/>
        <w:numPr>
          <w:ilvl w:val="0"/>
          <w:numId w:val="2"/>
        </w:numPr>
        <w:spacing w:after="40" w:before="40"/>
      </w:pPr>
      <w:hyperlink w:history="1" r:id="rIdgtfngbwksfwmy-hhlqlsx">
        <w:r>
          <w:rPr>
            <w:rStyle w:val="Hyperlink"/>
            <w:rFonts w:ascii="Arial" w:cs="Arial" w:eastAsia="Arial" w:hAnsi="Arial"/>
            <w:sz w:val="20"/>
            <w:szCs w:val="20"/>
          </w:rPr>
          <w:t xml:space="preserve">Privacy Policy</w:t>
        </w:r>
      </w:hyperlink>
    </w:p>
    <w:p>
      <w:pPr>
        <w:pStyle w:val="ListParagraph"/>
        <w:numPr>
          <w:ilvl w:val="0"/>
          <w:numId w:val="2"/>
        </w:numPr>
        <w:spacing w:after="40" w:before="40"/>
      </w:pPr>
      <w:hyperlink w:history="1" r:id="rIdx8jrldchr25ycyptcyz9a">
        <w:r>
          <w:rPr>
            <w:rStyle w:val="Hyperlink"/>
            <w:rFonts w:ascii="Arial" w:cs="Arial" w:eastAsia="Arial" w:hAnsi="Arial"/>
            <w:sz w:val="20"/>
            <w:szCs w:val="20"/>
          </w:rPr>
          <w:t xml:space="preserve">Terms of Use</w:t>
        </w:r>
      </w:hyperlink>
    </w:p>
    <w:p>
      <w:pPr>
        <w:pStyle w:val="ListParagraph"/>
        <w:numPr>
          <w:ilvl w:val="0"/>
          <w:numId w:val="2"/>
        </w:numPr>
        <w:spacing w:after="40" w:before="40"/>
      </w:pPr>
      <w:r>
        <w:rPr>
          <w:rFonts w:ascii="Arial" w:cs="Arial" w:eastAsia="Arial" w:hAnsi="Arial"/>
          <w:color w:val="28251D"/>
          <w:sz w:val="20"/>
          <w:szCs w:val="20"/>
        </w:rPr>
        <w:t xml:space="preserve">GPT Read-Only Query Service v6.1 (internal Brain artifact: brain_v0.1.3_design.json)</w:t>
      </w:r>
    </w:p>
    <w:p>
      <w:pPr>
        <w:pStyle w:val="ListParagraph"/>
        <w:numPr>
          <w:ilvl w:val="0"/>
          <w:numId w:val="2"/>
        </w:numPr>
        <w:spacing w:after="40" w:before="40"/>
      </w:pPr>
      <w:hyperlink w:history="1" r:id="rIdyvygn9a0tet9iipfgosdj">
        <w:r>
          <w:rPr>
            <w:rStyle w:val="Hyperlink"/>
            <w:rFonts w:ascii="Arial" w:cs="Arial" w:eastAsia="Arial" w:hAnsi="Arial"/>
            <w:sz w:val="20"/>
            <w:szCs w:val="20"/>
          </w:rPr>
          <w:t xml:space="preserve">Live Chat Interface</w:t>
        </w:r>
      </w:hyperlink>
    </w:p>
    <w:p>
      <w:pPr>
        <w:pStyle w:val="Heading1"/>
      </w:pPr>
      <w:r>
        <w:rPr>
          <w:rFonts w:ascii="Arial" w:cs="Arial" w:eastAsia="Arial" w:hAnsi="Arial"/>
        </w:rPr>
        <w:t xml:space="preserve">3. Strengths</w:t>
      </w:r>
    </w:p>
    <w:p>
      <w:pPr>
        <w:pStyle w:val="Heading2"/>
      </w:pPr>
      <w:r>
        <w:rPr>
          <w:rFonts w:ascii="Arial" w:cs="Arial" w:eastAsia="Arial" w:hAnsi="Arial"/>
        </w:rPr>
        <w:t xml:space="preserve">F-01: Three-Application Separation Is Clean and Well-Reasoned</w:t>
      </w:r>
    </w:p>
    <w:p>
      <w:pPr>
        <w:spacing w:after="120" w:before="120"/>
      </w:pPr>
      <w:r>
        <w:rPr>
          <w:rFonts w:ascii="Arial" w:cs="Arial" w:eastAsia="Arial" w:hAnsi="Arial"/>
          <w:color w:val="28251D"/>
          <w:sz w:val="22"/>
          <w:szCs w:val="22"/>
        </w:rPr>
        <w:t xml:space="preserve">The platform is split into three independently deployable applications: App 1 (Cloudflare static site), App 2 (HuggingFace chat — React frontend with FastAPI backend), and App 3 (Azure Durable Functions data pipelines). Each component scales and deploys independently with no business logic leaking between layers. The static site costs nothing at rest. This separation demonstrates architectural maturity and ensures that changes to the chat application do not risk the data pipeline, and vice versa.</w:t>
      </w:r>
    </w:p>
    <w:p>
      <w:pPr>
        <w:spacing w:after="80" w:before="20"/>
      </w:pPr>
      <w:r>
        <w:rPr>
          <w:rFonts w:ascii="Arial" w:cs="Arial" w:eastAsia="Arial" w:hAnsi="Arial"/>
          <w:b/>
          <w:bCs/>
          <w:color w:val="7A7974"/>
          <w:sz w:val="18"/>
          <w:szCs w:val="18"/>
        </w:rPr>
        <w:t xml:space="preserve">Source: </w:t>
      </w:r>
      <w:hyperlink w:history="1" r:id="rIddqxaosfxb1jmglrryhgxp">
        <w:r>
          <w:rPr>
            <w:rStyle w:val="Hyperlink"/>
            <w:rFonts w:ascii="Arial" w:cs="Arial" w:eastAsia="Arial" w:hAnsi="Arial"/>
            <w:sz w:val="18"/>
            <w:szCs w:val="18"/>
          </w:rPr>
          <w:t xml:space="preserve">Architecture Overview</w:t>
        </w:r>
      </w:hyperlink>
    </w:p>
    <w:p>
      <w:pPr>
        <w:pStyle w:val="Heading2"/>
      </w:pPr>
      <w:r>
        <w:rPr>
          <w:rFonts w:ascii="Arial" w:cs="Arial" w:eastAsia="Arial" w:hAnsi="Arial"/>
        </w:rPr>
        <w:t xml:space="preserve">F-02: Production-Grade Pipeline Engineering</w:t>
      </w:r>
    </w:p>
    <w:p>
      <w:pPr>
        <w:spacing w:after="120" w:before="120"/>
      </w:pPr>
      <w:r>
        <w:rPr>
          <w:rFonts w:ascii="Arial" w:cs="Arial" w:eastAsia="Arial" w:hAnsi="Arial"/>
          <w:color w:val="28251D"/>
          <w:sz w:val="22"/>
          <w:szCs w:val="22"/>
        </w:rPr>
        <w:t xml:space="preserve">The provider data pipeline processes 8.9 million NPI records in 35 minutes using 32 parallel workers. The design includes idempotent upserts keyed on (load_id, record_id), byte-aligned partitions for consistent worker distribution, multi-pass county enrichment with provenance tagging, a Template Method worker hierarchy, and a discrepancy reporter. Notably, the design review notes in §9 of the Provider Data Load Design document show bugs caught and fixed before production — including missing load_id propagation, missing idempotency, and missing staging drain. This is the work of a disciplined engineering process.</w:t>
      </w:r>
    </w:p>
    <w:p>
      <w:pPr>
        <w:spacing w:after="80" w:before="20"/>
      </w:pPr>
      <w:r>
        <w:rPr>
          <w:rFonts w:ascii="Arial" w:cs="Arial" w:eastAsia="Arial" w:hAnsi="Arial"/>
          <w:b/>
          <w:bCs/>
          <w:color w:val="7A7974"/>
          <w:sz w:val="18"/>
          <w:szCs w:val="18"/>
        </w:rPr>
        <w:t xml:space="preserve">Source: </w:t>
      </w:r>
      <w:hyperlink w:history="1" r:id="rId27oiignpgogvh8rsh53b-">
        <w:r>
          <w:rPr>
            <w:rStyle w:val="Hyperlink"/>
            <w:rFonts w:ascii="Arial" w:cs="Arial" w:eastAsia="Arial" w:hAnsi="Arial"/>
            <w:sz w:val="18"/>
            <w:szCs w:val="18"/>
          </w:rPr>
          <w:t xml:space="preserve">Provider Data Load Design</w:t>
        </w:r>
      </w:hyperlink>
    </w:p>
    <w:p>
      <w:pPr>
        <w:pStyle w:val="Heading2"/>
      </w:pPr>
      <w:r>
        <w:rPr>
          <w:rFonts w:ascii="Arial" w:cs="Arial" w:eastAsia="Arial" w:hAnsi="Arial"/>
        </w:rPr>
        <w:t xml:space="preserve">F-03: Safety System Is Well-Designed for a Health Application</w:t>
      </w:r>
    </w:p>
    <w:p>
      <w:pPr>
        <w:spacing w:after="120" w:before="120"/>
      </w:pPr>
      <w:r>
        <w:rPr>
          <w:rFonts w:ascii="Arial" w:cs="Arial" w:eastAsia="Arial" w:hAnsi="Arial"/>
          <w:color w:val="28251D"/>
          <w:sz w:val="22"/>
          <w:szCs w:val="22"/>
        </w:rPr>
        <w:t xml:space="preserve">The emergency detection system uses dual-trigger OR logic combining keyword matching and a Haiku semantic classifier, with a fail-safe default. If the Haiku API call fails, the system defaults to escalation — the correct design for healthcare. IP-based lockout includes database persistence and audit trail preservation on unlock. The BTC-003 requirement that emergency records must never be deleted demonstrates compliance awareness. The engineering is sound; however, legal review is recommended to determine whether this system could classify the product as a clinical decision support tool under FDA guidance. Estimated cost for a health tech attorney consultation: $5,000.</w:t>
      </w:r>
    </w:p>
    <w:p>
      <w:pPr>
        <w:spacing w:after="80" w:before="20"/>
      </w:pPr>
      <w:r>
        <w:rPr>
          <w:rFonts w:ascii="Arial" w:cs="Arial" w:eastAsia="Arial" w:hAnsi="Arial"/>
          <w:b/>
          <w:bCs/>
          <w:color w:val="7A7974"/>
          <w:sz w:val="18"/>
          <w:szCs w:val="18"/>
        </w:rPr>
        <w:t xml:space="preserve">Source: </w:t>
      </w:r>
      <w:hyperlink w:history="1" r:id="rIdj2bdso5yvdgon4_9huh_g">
        <w:r>
          <w:rPr>
            <w:rStyle w:val="Hyperlink"/>
            <w:rFonts w:ascii="Arial" w:cs="Arial" w:eastAsia="Arial" w:hAnsi="Arial"/>
            <w:sz w:val="18"/>
            <w:szCs w:val="18"/>
          </w:rPr>
          <w:t xml:space="preserve">Chat App Design</w:t>
        </w:r>
      </w:hyperlink>
    </w:p>
    <w:p>
      <w:pPr>
        <w:pStyle w:val="Heading2"/>
      </w:pPr>
      <w:r>
        <w:rPr>
          <w:rFonts w:ascii="Arial" w:cs="Arial" w:eastAsia="Arial" w:hAnsi="Arial"/>
        </w:rPr>
        <w:t xml:space="preserve">F-04: Pipeline Framework Is Correctly Designed for AI-Operated Company</w:t>
      </w:r>
    </w:p>
    <w:p>
      <w:pPr>
        <w:spacing w:after="120" w:before="120"/>
      </w:pPr>
      <w:r>
        <w:rPr>
          <w:rFonts w:ascii="Arial" w:cs="Arial" w:eastAsia="Arial" w:hAnsi="Arial"/>
          <w:color w:val="28251D"/>
          <w:sz w:val="22"/>
          <w:szCs w:val="22"/>
        </w:rPr>
        <w:t xml:space="preserve">The bespoke Durable Functions orchestrator with a PipelineWorkerBase Template Method pattern is the right choice for a company where Claude is the developer. Databricks, Airflow, and Spark are designed for human engineering teams and would add cost, complexity, and a dependency that Claude cannot reason about as precisely. The recommended path is to make the pipeline framework more explicitly extensible with clean interfaces and clear contracts for Claude as the audience, not to adopt an ETL platform. ETL platforms should only be revisited when processing multiple concurrent data sources at scale (payer directories, CMS Part D, FHIR feeds) — that is the complexity threshold where hand-rolled orchestration struggles.</w:t>
      </w:r>
    </w:p>
    <w:p>
      <w:pPr>
        <w:spacing w:after="80" w:before="20"/>
      </w:pPr>
      <w:r>
        <w:rPr>
          <w:rFonts w:ascii="Arial" w:cs="Arial" w:eastAsia="Arial" w:hAnsi="Arial"/>
          <w:b/>
          <w:bCs/>
          <w:color w:val="7A7974"/>
          <w:sz w:val="18"/>
          <w:szCs w:val="18"/>
        </w:rPr>
        <w:t xml:space="preserve">Source: </w:t>
      </w:r>
      <w:hyperlink w:history="1" r:id="rIdvpudynjk_likwp0mke31v">
        <w:r>
          <w:rPr>
            <w:rStyle w:val="Hyperlink"/>
            <w:rFonts w:ascii="Arial" w:cs="Arial" w:eastAsia="Arial" w:hAnsi="Arial"/>
            <w:sz w:val="18"/>
            <w:szCs w:val="18"/>
          </w:rPr>
          <w:t xml:space="preserve">Provider Data Load Design</w:t>
        </w:r>
      </w:hyperlink>
    </w:p>
    <w:p>
      <w:pPr>
        <w:pStyle w:val="Heading2"/>
      </w:pPr>
      <w:r>
        <w:rPr>
          <w:rFonts w:ascii="Arial" w:cs="Arial" w:eastAsia="Arial" w:hAnsi="Arial"/>
        </w:rPr>
        <w:t xml:space="preserve">F-15: Brain Governance System Is an Effective SDLC for AI-Native Company</w:t>
      </w:r>
    </w:p>
    <w:p>
      <w:pPr>
        <w:spacing w:after="120" w:before="120"/>
      </w:pPr>
      <w:r>
        <w:rPr>
          <w:rFonts w:ascii="Arial" w:cs="Arial" w:eastAsia="Arial" w:hAnsi="Arial"/>
          <w:color w:val="28251D"/>
          <w:sz w:val="22"/>
          <w:szCs w:val="22"/>
        </w:rPr>
        <w:t>The Claude-GPT-human triangle functions as a complete development organization. The assignment, assurance, and escalation workflow is a legitimate software development lifecycle. GPT's architectural rigor combined with Claude's execution capability and the human's judgment and risk sense creates a checks-and-balances system that neither AI alone can provide. The adversarial review process on the GPT Reader design spec produced a disciplined, zero-open-disputes result. This system IS the engineering organization, and continued investment in Brain reliability and tooling is recommended. The GPT Reader service (brain_v0.1.3) will further strengthen GPT's ability to audit independently.</w:t>
      </w:r>
    </w:p>
    <w:p>
      <w:r>
        <w:br w:type="page"/>
      </w:r>
    </w:p>
    <w:p>
      <w:pPr>
        <w:pStyle w:val="Heading1"/>
      </w:pPr>
      <w:r>
        <w:rPr>
          <w:rFonts w:ascii="Arial" w:cs="Arial" w:eastAsia="Arial" w:hAnsi="Arial"/>
        </w:rPr>
        <w:t xml:space="preserve">4. High Priority Findings</w:t>
      </w:r>
    </w:p>
    <w:p>
      <w:pPr>
        <w:spacing w:after="80" w:before="240"/>
      </w:pPr>
      <w:r>
        <w:rPr>
          <w:rFonts w:ascii="Arial" w:cs="Arial" w:eastAsia="Arial" w:hAnsi="Arial"/>
          <w:b/>
          <w:bCs/>
          <w:color w:val="01696F"/>
          <w:sz w:val="22"/>
          <w:szCs w:val="22"/>
        </w:rPr>
        <w:t xml:space="preserve">F-05: </w:t>
      </w:r>
      <w:r>
        <w:rPr>
          <w:rFonts w:ascii="Arial" w:cs="Arial" w:eastAsia="Arial" w:hAnsi="Arial"/>
          <w:b/>
          <w:bCs/>
          <w:color w:val="28251D"/>
          <w:sz w:val="22"/>
          <w:szCs w:val="22"/>
        </w:rPr>
        <w:t xml:space="preserve">globals().get(name) Tool Dispatch Is a Security Surface</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The chat app design document shows that _handle_tool_calls() looks up functions by name in globals(). ARCH-002 (tool registry pattern) is on the backlog. If Claude hallucinates a tool name that matches any global function, it executes. This is a real risk because the tool-use loop runs automatically.</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Implement a simple allowlist registry: TOOL_REGISTRY = {'find_providers': find_providers, ...}. This is a one-hour fix that eliminates the entire class of risk. Should be part of the current sprint's refactoring work. Priority: Current Sprint.</w:t>
      </w:r>
    </w:p>
    <w:p>
      <w:pPr>
        <w:spacing w:after="80" w:before="40"/>
      </w:pPr>
      <w:r>
        <w:rPr>
          <w:rFonts w:ascii="Arial" w:cs="Arial" w:eastAsia="Arial" w:hAnsi="Arial"/>
          <w:b/>
          <w:bCs/>
          <w:color w:val="7A7974"/>
          <w:sz w:val="18"/>
          <w:szCs w:val="18"/>
        </w:rPr>
        <w:t xml:space="preserve">Source: </w:t>
      </w:r>
      <w:hyperlink w:history="1" r:id="rIdelxyx3hsbbte9-i0uejpf">
        <w:r>
          <w:rPr>
            <w:rStyle w:val="Hyperlink"/>
            <w:rFonts w:ascii="Arial" w:cs="Arial" w:eastAsia="Arial" w:hAnsi="Arial"/>
            <w:sz w:val="18"/>
            <w:szCs w:val="18"/>
          </w:rPr>
          <w:t xml:space="preserve">Chat App Design</w:t>
        </w:r>
      </w:hyperlink>
    </w:p>
    <w:p>
      <w:pPr>
        <w:spacing w:after="80" w:before="240"/>
      </w:pPr>
      <w:r>
        <w:rPr>
          <w:rFonts w:ascii="Arial" w:cs="Arial" w:eastAsia="Arial" w:hAnsi="Arial"/>
          <w:b/>
          <w:bCs/>
          <w:color w:val="01696F"/>
          <w:sz w:val="22"/>
          <w:szCs w:val="22"/>
        </w:rPr>
        <w:t xml:space="preserve">F-06: </w:t>
      </w:r>
      <w:r>
        <w:rPr>
          <w:rFonts w:ascii="Arial" w:cs="Arial" w:eastAsia="Arial" w:hAnsi="Arial"/>
          <w:b/>
          <w:bCs/>
          <w:color w:val="28251D"/>
          <w:sz w:val="22"/>
          <w:szCs w:val="22"/>
        </w:rPr>
        <w:t xml:space="preserve">Durable Functions Status URL Exposes Orchestration State Without Authentication</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Provider data load document §10: The 202 Accepted response includes a statusQueryGetUri with an Azure-generated webhook code. Anyone with that URL can poll load_id, record counts, and worker details without authentication. Currently deferred to 'before enterprise sale.'</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Move up the timeline. This URL leaks pipeline telemetry. If intercepted during a demo or shared screen, a competitor or bad actor has operational data. Proxy the status check through /api/Router (authenticated), strip statusQueryGetUri from the 202 response, store the webhook URL server-side keyed by load_id. Priority: Before Alpha.</w:t>
      </w:r>
    </w:p>
    <w:p>
      <w:pPr>
        <w:spacing w:after="80" w:before="40"/>
      </w:pPr>
      <w:r>
        <w:rPr>
          <w:rFonts w:ascii="Arial" w:cs="Arial" w:eastAsia="Arial" w:hAnsi="Arial"/>
          <w:b/>
          <w:bCs/>
          <w:color w:val="7A7974"/>
          <w:sz w:val="18"/>
          <w:szCs w:val="18"/>
        </w:rPr>
        <w:t xml:space="preserve">Source: </w:t>
      </w:r>
      <w:hyperlink w:history="1" r:id="rIdn65uaox6i2cf3f0-ydoic">
        <w:r>
          <w:rPr>
            <w:rStyle w:val="Hyperlink"/>
            <w:rFonts w:ascii="Arial" w:cs="Arial" w:eastAsia="Arial" w:hAnsi="Arial"/>
            <w:sz w:val="18"/>
            <w:szCs w:val="18"/>
          </w:rPr>
          <w:t xml:space="preserve">Provider Data Load Design</w:t>
        </w:r>
      </w:hyperlink>
    </w:p>
    <w:p>
      <w:pPr>
        <w:spacing w:after="80" w:before="240"/>
      </w:pPr>
      <w:r>
        <w:rPr>
          <w:rFonts w:ascii="Arial" w:cs="Arial" w:eastAsia="Arial" w:hAnsi="Arial"/>
          <w:b/>
          <w:bCs/>
          <w:color w:val="01696F"/>
          <w:sz w:val="22"/>
          <w:szCs w:val="22"/>
        </w:rPr>
        <w:t xml:space="preserve">F-16: </w:t>
      </w:r>
      <w:r>
        <w:rPr>
          <w:rFonts w:ascii="Arial" w:cs="Arial" w:eastAsia="Arial" w:hAnsi="Arial"/>
          <w:b/>
          <w:bCs/>
          <w:color w:val="28251D"/>
          <w:sz w:val="22"/>
          <w:szCs w:val="22"/>
        </w:rPr>
        <w:t xml:space="preserve">GPT Reader Spec: Brain Lock Has No Deadlock Recovery</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R32 (Brain lock flag) prevents concurrent modification during active brain writes. But there is no TTL on the lock and no deadlock recovery procedure if Claude crashes mid-write. The lock remains set permanently with no way to release it.</w:t>
      </w:r>
    </w:p>
    <w:p>
      <w:pPr>
        <w:spacing w:after="60" w:before="60"/>
      </w:pPr>
      <w:r>
        <w:rPr>
          <w:rFonts w:ascii="Arial" w:cs="Arial" w:eastAsia="Arial" w:hAnsi="Arial"/>
          <w:b/>
          <w:bCs/>
          <w:color w:val="7A7974"/>
          <w:sz w:val="20"/>
          <w:szCs w:val="20"/>
        </w:rPr>
        <w:t>Recommendation: Add a TTL (e.g. 10 minutes) and a human-override release mechanism. If the lock is older than TTL, auto-release with a warning log. This should be addressed before the GPT Reader goes to production. Priority: Before GPT Reader Production.</w:t>
      </w:r>
      <w:r>
        <w:rPr>
          <w:rFonts w:ascii="Arial" w:cs="Arial" w:eastAsia="Arial" w:hAnsi="Arial"/>
          <w:color w:val="28251D"/>
          <w:sz w:val="20"/>
          <w:szCs w:val="20"/>
        </w:rPr>
      </w:r>
    </w:p>
    <w:p>
      <w:r>
        <w:br w:type="page"/>
      </w:r>
    </w:p>
    <w:p>
      <w:pPr>
        <w:pStyle w:val="Heading1"/>
      </w:pPr>
      <w:r>
        <w:rPr>
          <w:rFonts w:ascii="Arial" w:cs="Arial" w:eastAsia="Arial" w:hAnsi="Arial"/>
        </w:rPr>
        <w:t xml:space="preserve">5. Medium Priority Findings</w:t>
      </w:r>
    </w:p>
    <w:p>
      <w:pPr>
        <w:spacing w:after="80" w:before="240"/>
      </w:pPr>
      <w:r>
        <w:rPr>
          <w:rFonts w:ascii="Arial" w:cs="Arial" w:eastAsia="Arial" w:hAnsi="Arial"/>
          <w:b/>
          <w:bCs/>
          <w:color w:val="01696F"/>
          <w:sz w:val="22"/>
          <w:szCs w:val="22"/>
        </w:rPr>
        <w:t xml:space="preserve">F-07: </w:t>
      </w:r>
      <w:r>
        <w:rPr>
          <w:rFonts w:ascii="Arial" w:cs="Arial" w:eastAsia="Arial" w:hAnsi="Arial"/>
          <w:b/>
          <w:bCs/>
          <w:color w:val="28251D"/>
          <w:sz w:val="22"/>
          <w:szCs w:val="22"/>
        </w:rPr>
        <w:t xml:space="preserve">main.py Monolith (1,323 Lines) Is a Velocity Blocker</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Router logic, safety system, provider search, tool definitions, context loading, consent flow, and error handling are all in one file. Every change touches the same file. ARCH-001 (5-module split: FindCareApp, GUIHelper, PromptFactory, HostConfig, thin entry point) is on the backlog and planned for the current sprint.</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This is correctly prioritized for the current sprint. The FindCare/EvaluateCare component separation requires this decomposition. The 5-module split is the right granularity. Priority: Current Sprint.</w:t>
      </w:r>
    </w:p>
    <w:p>
      <w:pPr>
        <w:spacing w:after="80" w:before="40"/>
      </w:pPr>
      <w:r>
        <w:rPr>
          <w:rFonts w:ascii="Arial" w:cs="Arial" w:eastAsia="Arial" w:hAnsi="Arial"/>
          <w:b/>
          <w:bCs/>
          <w:color w:val="7A7974"/>
          <w:sz w:val="18"/>
          <w:szCs w:val="18"/>
        </w:rPr>
        <w:t xml:space="preserve">Source: </w:t>
      </w:r>
      <w:hyperlink w:history="1" r:id="rIdumt2hb7oeerlmqxea1bay">
        <w:r>
          <w:rPr>
            <w:rStyle w:val="Hyperlink"/>
            <w:rFonts w:ascii="Arial" w:cs="Arial" w:eastAsia="Arial" w:hAnsi="Arial"/>
            <w:sz w:val="18"/>
            <w:szCs w:val="18"/>
          </w:rPr>
          <w:t xml:space="preserve">Chat App Design</w:t>
        </w:r>
      </w:hyperlink>
    </w:p>
    <w:p>
      <w:pPr>
        <w:spacing w:after="80" w:before="240"/>
      </w:pPr>
      <w:r>
        <w:rPr>
          <w:rFonts w:ascii="Arial" w:cs="Arial" w:eastAsia="Arial" w:hAnsi="Arial"/>
          <w:b/>
          <w:bCs/>
          <w:color w:val="01696F"/>
          <w:sz w:val="22"/>
          <w:szCs w:val="22"/>
        </w:rPr>
        <w:t xml:space="preserve">F-08: </w:t>
      </w:r>
      <w:r>
        <w:rPr>
          <w:rFonts w:ascii="Arial" w:cs="Arial" w:eastAsia="Arial" w:hAnsi="Arial"/>
          <w:b/>
          <w:bCs/>
          <w:color w:val="28251D"/>
          <w:sz w:val="22"/>
          <w:szCs w:val="22"/>
        </w:rPr>
        <w:t xml:space="preserve">Three-State Coverage Is Thin but Rationale Is Sound</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Delaware, Mississippi, and Virginia cover less than 2% of US population. However, embedding 8.9M records is expensive for a self-funded venture, and the pipeline architecture can handle all states. Virginia was added between sprints to support a $500K consulting prospect — that is the right prioritization.</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Plan incremental state additions by embedding cost. Consider selective re-embedding strategy: only re-embed records where the input text fields that feed the embedding actually changed. This could cut OpenAI costs 90%+ on incremental data structure changes. All states should be live by Alpha (April 30). Priority: Before Alpha.</w:t>
      </w:r>
    </w:p>
    <w:p>
      <w:pPr>
        <w:spacing w:after="80" w:before="40"/>
      </w:pPr>
      <w:r>
        <w:rPr>
          <w:rFonts w:ascii="Arial" w:cs="Arial" w:eastAsia="Arial" w:hAnsi="Arial"/>
          <w:b/>
          <w:bCs/>
          <w:color w:val="7A7974"/>
          <w:sz w:val="18"/>
          <w:szCs w:val="18"/>
        </w:rPr>
        <w:t xml:space="preserve">Source: </w:t>
      </w:r>
      <w:hyperlink w:history="1" r:id="rIduu8_lcso0jctswjttws9m">
        <w:r>
          <w:rPr>
            <w:rStyle w:val="Hyperlink"/>
            <w:rFonts w:ascii="Arial" w:cs="Arial" w:eastAsia="Arial" w:hAnsi="Arial"/>
            <w:sz w:val="18"/>
            <w:szCs w:val="18"/>
          </w:rPr>
          <w:t xml:space="preserve">Product Roadmap</w:t>
        </w:r>
      </w:hyperlink>
    </w:p>
    <w:p>
      <w:pPr>
        <w:spacing w:after="80" w:before="240"/>
      </w:pPr>
      <w:r>
        <w:rPr>
          <w:rFonts w:ascii="Arial" w:cs="Arial" w:eastAsia="Arial" w:hAnsi="Arial"/>
          <w:b/>
          <w:bCs/>
          <w:color w:val="01696F"/>
          <w:sz w:val="22"/>
          <w:szCs w:val="22"/>
        </w:rPr>
        <w:t xml:space="preserve">F-09: </w:t>
      </w:r>
      <w:r>
        <w:rPr>
          <w:rFonts w:ascii="Arial" w:cs="Arial" w:eastAsia="Arial" w:hAnsi="Arial"/>
          <w:b/>
          <w:bCs/>
          <w:color w:val="28251D"/>
          <w:sz w:val="22"/>
          <w:szCs w:val="22"/>
        </w:rPr>
        <w:t xml:space="preserve">Emergency Keyword List Has Coverage Gaps</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Current list covers: cardiac, respiratory, stroke, bleeding, overdose, suicide, seizure, allergic reaction, choking. Missing categories: burns ('severe burn', 'on fire'), drowning ('drowning', 'pulled from water'), trauma ('car accident', 'gunshot', 'stabbing'), diabetic emergency ('blood sugar', 'diabetic coma'), childbirth ('in labor', 'water broke', 'baby coming').</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Expand keyword list. The Haiku semantic check may catch some of these, but the OR logic design means the keyword list is the guaranteed-hit path. Each missed keyword is a gap in the safety net. Priority: Before Alpha.</w:t>
      </w:r>
    </w:p>
    <w:p>
      <w:pPr>
        <w:spacing w:after="80" w:before="40"/>
      </w:pPr>
      <w:r>
        <w:rPr>
          <w:rFonts w:ascii="Arial" w:cs="Arial" w:eastAsia="Arial" w:hAnsi="Arial"/>
          <w:b/>
          <w:bCs/>
          <w:color w:val="7A7974"/>
          <w:sz w:val="18"/>
          <w:szCs w:val="18"/>
        </w:rPr>
        <w:t xml:space="preserve">Source: </w:t>
      </w:r>
      <w:hyperlink w:history="1" r:id="rIdjsqtcxdqxzoi7srlpfuoe">
        <w:r>
          <w:rPr>
            <w:rStyle w:val="Hyperlink"/>
            <w:rFonts w:ascii="Arial" w:cs="Arial" w:eastAsia="Arial" w:hAnsi="Arial"/>
            <w:sz w:val="18"/>
            <w:szCs w:val="18"/>
          </w:rPr>
          <w:t xml:space="preserve">Chat App Design</w:t>
        </w:r>
      </w:hyperlink>
    </w:p>
    <w:p>
      <w:pPr>
        <w:spacing w:after="80" w:before="240"/>
      </w:pPr>
      <w:r>
        <w:rPr>
          <w:rFonts w:ascii="Arial" w:cs="Arial" w:eastAsia="Arial" w:hAnsi="Arial"/>
          <w:b/>
          <w:bCs/>
          <w:color w:val="01696F"/>
          <w:sz w:val="22"/>
          <w:szCs w:val="22"/>
        </w:rPr>
        <w:t xml:space="preserve">F-10: </w:t>
      </w:r>
      <w:r>
        <w:rPr>
          <w:rFonts w:ascii="Arial" w:cs="Arial" w:eastAsia="Arial" w:hAnsi="Arial"/>
          <w:b/>
          <w:bCs/>
          <w:color w:val="28251D"/>
          <w:sz w:val="22"/>
          <w:szCs w:val="22"/>
        </w:rPr>
        <w:t xml:space="preserve">Vector Search Hard Cap of 10 Results Is Too Restrictive</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Provider search caps at safe_limit = min(int(limit), 10). County-level searches in common specialties (internists, family medicine) will hit this immediately. The UI already formats results as a bullet list (RULE 5b), which handles longer lists gracefully.</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Raise to 20-25 for Alpha. Let users ask for more if needed. Priority: Before Alpha.</w:t>
      </w:r>
    </w:p>
    <w:p>
      <w:pPr>
        <w:spacing w:after="80" w:before="40"/>
      </w:pPr>
      <w:r>
        <w:rPr>
          <w:rFonts w:ascii="Arial" w:cs="Arial" w:eastAsia="Arial" w:hAnsi="Arial"/>
          <w:b/>
          <w:bCs/>
          <w:color w:val="7A7974"/>
          <w:sz w:val="18"/>
          <w:szCs w:val="18"/>
        </w:rPr>
        <w:t xml:space="preserve">Source: </w:t>
      </w:r>
      <w:hyperlink w:history="1" r:id="rIdsos962dvr7h9duljnymx1">
        <w:r>
          <w:rPr>
            <w:rStyle w:val="Hyperlink"/>
            <w:rFonts w:ascii="Arial" w:cs="Arial" w:eastAsia="Arial" w:hAnsi="Arial"/>
            <w:sz w:val="18"/>
            <w:szCs w:val="18"/>
          </w:rPr>
          <w:t xml:space="preserve">Chat App Design</w:t>
        </w:r>
      </w:hyperlink>
    </w:p>
    <w:p>
      <w:pPr>
        <w:spacing w:after="80" w:before="240"/>
      </w:pPr>
      <w:r>
        <w:rPr>
          <w:rFonts w:ascii="Arial" w:cs="Arial" w:eastAsia="Arial" w:hAnsi="Arial"/>
          <w:b/>
          <w:bCs/>
          <w:color w:val="01696F"/>
          <w:sz w:val="22"/>
          <w:szCs w:val="22"/>
        </w:rPr>
        <w:t xml:space="preserve">F-11: </w:t>
      </w:r>
      <w:r>
        <w:rPr>
          <w:rFonts w:ascii="Arial" w:cs="Arial" w:eastAsia="Arial" w:hAnsi="Arial"/>
          <w:b/>
          <w:bCs/>
          <w:color w:val="28251D"/>
          <w:sz w:val="22"/>
          <w:szCs w:val="22"/>
        </w:rPr>
        <w:t xml:space="preserve">FIPS Hack (ASN-4AFBDA) Should Be Resolved in Next Pipeline Run</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2,579 providers (460 DE, 2,119 MS) have county.fips set but county.name blank. Workaround: static FIPS-to-county mapping augmented from DB at startup. Root cause fix committed (3402d40) but not re-run on affected records.</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Include the fix in the next pipeline execution rather than carrying the hack forward. The workaround adds startup complexity and a silent failure mode if the DB backfill query fails. Priority: Next Pipeline Run.</w:t>
      </w:r>
    </w:p>
    <w:p>
      <w:pPr>
        <w:spacing w:after="80" w:before="40"/>
      </w:pPr>
      <w:r>
        <w:rPr>
          <w:rFonts w:ascii="Arial" w:cs="Arial" w:eastAsia="Arial" w:hAnsi="Arial"/>
          <w:b/>
          <w:bCs/>
          <w:color w:val="7A7974"/>
          <w:sz w:val="18"/>
          <w:szCs w:val="18"/>
        </w:rPr>
        <w:t xml:space="preserve">Source: </w:t>
      </w:r>
      <w:hyperlink w:history="1" r:id="rIdvuwxgu-fd7pi_z5y9vghu">
        <w:r>
          <w:rPr>
            <w:rStyle w:val="Hyperlink"/>
            <w:rFonts w:ascii="Arial" w:cs="Arial" w:eastAsia="Arial" w:hAnsi="Arial"/>
            <w:sz w:val="18"/>
            <w:szCs w:val="18"/>
          </w:rPr>
          <w:t xml:space="preserve">Provider Data Load Design</w:t>
        </w:r>
      </w:hyperlink>
    </w:p>
    <w:p>
      <w:pPr>
        <w:spacing w:after="80" w:before="240"/>
      </w:pPr>
      <w:r>
        <w:rPr>
          <w:rFonts w:ascii="Arial" w:cs="Arial" w:eastAsia="Arial" w:hAnsi="Arial"/>
          <w:b/>
          <w:bCs/>
          <w:color w:val="01696F"/>
          <w:sz w:val="22"/>
          <w:szCs w:val="22"/>
        </w:rPr>
        <w:t xml:space="preserve">F-12: </w:t>
      </w:r>
      <w:r>
        <w:rPr>
          <w:rFonts w:ascii="Arial" w:cs="Arial" w:eastAsia="Arial" w:hAnsi="Arial"/>
          <w:b/>
          <w:bCs/>
          <w:color w:val="28251D"/>
          <w:sz w:val="22"/>
          <w:szCs w:val="22"/>
        </w:rPr>
        <w:t xml:space="preserve">DeepSeek Disclosure in Privacy Policy Is Incomplete</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Privacy policy correctly discloses DeepSeek AI is headquartered in the PRC. But does not specify what data flows to DeepSeek or under what circumstances. If user data never touches DeepSeek, that should be stated explicitly.</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Add a sentence clarifying whether user conversation data is ever processed by DeepSeek. If DeepSeek is only used in pipeline/internal contexts, say so. The current disclosure raises the question without answering it, which is worse for enterprise health buyers than not mentioning it. Priority: Before Alpha.</w:t>
      </w:r>
    </w:p>
    <w:p>
      <w:pPr>
        <w:spacing w:after="80" w:before="40"/>
      </w:pPr>
      <w:r>
        <w:rPr>
          <w:rFonts w:ascii="Arial" w:cs="Arial" w:eastAsia="Arial" w:hAnsi="Arial"/>
          <w:b/>
          <w:bCs/>
          <w:color w:val="7A7974"/>
          <w:sz w:val="18"/>
          <w:szCs w:val="18"/>
        </w:rPr>
        <w:t xml:space="preserve">Source: </w:t>
      </w:r>
      <w:hyperlink w:history="1" r:id="rIdk02dxulmbn54e_tsydtqc">
        <w:r>
          <w:rPr>
            <w:rStyle w:val="Hyperlink"/>
            <w:rFonts w:ascii="Arial" w:cs="Arial" w:eastAsia="Arial" w:hAnsi="Arial"/>
            <w:sz w:val="18"/>
            <w:szCs w:val="18"/>
          </w:rPr>
          <w:t xml:space="preserve">Privacy Policy</w:t>
        </w:r>
      </w:hyperlink>
    </w:p>
    <w:p>
      <w:pPr>
        <w:spacing w:after="80" w:before="240"/>
      </w:pPr>
      <w:r>
        <w:rPr>
          <w:rFonts w:ascii="Arial" w:cs="Arial" w:eastAsia="Arial" w:hAnsi="Arial"/>
          <w:b/>
          <w:bCs/>
          <w:color w:val="01696F"/>
          <w:sz w:val="22"/>
          <w:szCs w:val="22"/>
        </w:rPr>
        <w:t xml:space="preserve">F-13: </w:t>
      </w:r>
      <w:r>
        <w:rPr>
          <w:rFonts w:ascii="Arial" w:cs="Arial" w:eastAsia="Arial" w:hAnsi="Arial"/>
          <w:b/>
          <w:bCs/>
          <w:color w:val="28251D"/>
          <w:sz w:val="22"/>
          <w:szCs w:val="22"/>
        </w:rPr>
        <w:t xml:space="preserve">Architecture Documentation Is Publicly Accessible and Constitutes a Detailed Blueprint</w:t>
      </w:r>
    </w:p>
    <w:p>
      <w:pPr>
        <w:spacing w:after="60" w:before="60"/>
      </w:pPr>
      <w:r>
        <w:rPr>
          <w:rFonts w:ascii="Arial" w:cs="Arial" w:eastAsia="Arial" w:hAnsi="Arial"/>
          <w:b/>
          <w:bCs/>
          <w:color w:val="7A7974"/>
          <w:sz w:val="20"/>
          <w:szCs w:val="20"/>
        </w:rPr>
        <w:t>Finding: The architecture doc, chat app design doc, and pipeline design doc are published on the public site. These documents are detailed enough to save a competitor months of design work. Human plans to lock behind NDA prior to Alpha.</w:t>
      </w:r>
      <w:r>
        <w:rPr>
          <w:rFonts w:ascii="Arial" w:cs="Arial" w:eastAsia="Arial" w:hAnsi="Arial"/>
          <w:color w:val="28251D"/>
          <w:sz w:val="20"/>
          <w:szCs w:val="20"/>
        </w:rPr>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Lock architecture docs behind an access gate before Alpha. Keep the functional demo (chat) public — it demonstrates capability without revealing implementation. The architecture, chat app design, and provider data load documents should require NDA. Consider a simple access code or authenticated page rather than removing them entirely — you still want to share with prospects. Priority: Before Alpha.</w:t>
      </w:r>
    </w:p>
    <w:p>
      <w:pPr>
        <w:spacing w:after="80" w:before="40"/>
      </w:pPr>
      <w:r>
        <w:rPr>
          <w:rFonts w:ascii="Arial" w:cs="Arial" w:eastAsia="Arial" w:hAnsi="Arial"/>
          <w:b/>
          <w:bCs/>
          <w:color w:val="7A7974"/>
          <w:sz w:val="18"/>
          <w:szCs w:val="18"/>
        </w:rPr>
        <w:t xml:space="preserve">Source: </w:t>
      </w:r>
      <w:hyperlink w:history="1" r:id="rIdfg4symihzsyiut62g5itm">
        <w:r>
          <w:rPr>
            <w:rStyle w:val="Hyperlink"/>
            <w:rFonts w:ascii="Arial" w:cs="Arial" w:eastAsia="Arial" w:hAnsi="Arial"/>
            <w:sz w:val="18"/>
            <w:szCs w:val="18"/>
          </w:rPr>
          <w:t xml:space="preserve">Architecture Overview</w:t>
        </w:r>
      </w:hyperlink>
      <w:r>
        <w:rPr>
          <w:rFonts w:ascii="Arial" w:cs="Arial" w:eastAsia="Arial" w:hAnsi="Arial"/>
          <w:color w:val="7A7974"/>
          <w:sz w:val="18"/>
          <w:szCs w:val="18"/>
        </w:rPr>
        <w:t xml:space="preserve"> | </w:t>
      </w:r>
      <w:hyperlink w:history="1" r:id="rIdwgn8rrijcughvllkj_pxx">
        <w:r>
          <w:rPr>
            <w:rStyle w:val="Hyperlink"/>
            <w:rFonts w:ascii="Arial" w:cs="Arial" w:eastAsia="Arial" w:hAnsi="Arial"/>
            <w:sz w:val="18"/>
            <w:szCs w:val="18"/>
          </w:rPr>
          <w:t xml:space="preserve">Chat App Design</w:t>
        </w:r>
      </w:hyperlink>
      <w:r>
        <w:rPr>
          <w:rFonts w:ascii="Arial" w:cs="Arial" w:eastAsia="Arial" w:hAnsi="Arial"/>
          <w:color w:val="7A7974"/>
          <w:sz w:val="18"/>
          <w:szCs w:val="18"/>
        </w:rPr>
        <w:t xml:space="preserve"> | </w:t>
      </w:r>
      <w:hyperlink w:history="1" r:id="rIdtfyokitwrdhtzlwpunvrb">
        <w:r>
          <w:rPr>
            <w:rStyle w:val="Hyperlink"/>
            <w:rFonts w:ascii="Arial" w:cs="Arial" w:eastAsia="Arial" w:hAnsi="Arial"/>
            <w:sz w:val="18"/>
            <w:szCs w:val="18"/>
          </w:rPr>
          <w:t xml:space="preserve">Provider Data Load Design</w:t>
        </w:r>
      </w:hyperlink>
    </w:p>
    <w:p>
      <w:pPr>
        <w:spacing w:after="80" w:before="240"/>
      </w:pPr>
      <w:r>
        <w:rPr>
          <w:rFonts w:ascii="Arial" w:cs="Arial" w:eastAsia="Arial" w:hAnsi="Arial"/>
          <w:b/>
          <w:bCs/>
          <w:color w:val="01696F"/>
          <w:sz w:val="22"/>
          <w:szCs w:val="22"/>
        </w:rPr>
        <w:t xml:space="preserve">F-17: </w:t>
      </w:r>
      <w:r>
        <w:rPr>
          <w:rFonts w:ascii="Arial" w:cs="Arial" w:eastAsia="Arial" w:hAnsi="Arial"/>
          <w:b/>
          <w:bCs/>
          <w:color w:val="28251D"/>
          <w:sz w:val="22"/>
          <w:szCs w:val="22"/>
        </w:rPr>
        <w:t xml:space="preserve">GPT Reader Spec: Server-Side Scope Enforcement Must Be Independent of Claude</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The GPT Reader security model relies on Claude faithfully proxying calls. If Claude's context is manipulated (e.g., prompt injection via malicious artifact), it could make out-of-scope calls. The Azure Function must independently validate that every request is within the allowlisted scope — the function is the authoritative enforcement layer, not Claude.</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Ensure gpt_reader.py independently validates environment, database, collection, and project_path against the allowlist on every request, regardless of what Claude sends. Priority: Before GPT Reader Production.</w:t>
      </w:r>
    </w:p>
    <w:p>
      <w:pPr>
        <w:spacing w:after="80" w:before="240"/>
      </w:pPr>
      <w:r>
        <w:rPr>
          <w:rFonts w:ascii="Arial" w:cs="Arial" w:eastAsia="Arial" w:hAnsi="Arial"/>
          <w:b/>
          <w:bCs/>
          <w:color w:val="01696F"/>
          <w:sz w:val="22"/>
          <w:szCs w:val="22"/>
        </w:rPr>
        <w:t xml:space="preserve">F-18: </w:t>
      </w:r>
      <w:r>
        <w:rPr>
          <w:rFonts w:ascii="Arial" w:cs="Arial" w:eastAsia="Arial" w:hAnsi="Arial"/>
          <w:b/>
          <w:bCs/>
          <w:color w:val="28251D"/>
          <w:sz w:val="22"/>
          <w:szCs w:val="22"/>
        </w:rPr>
        <w:t xml:space="preserve">GPT Reader Spec: Audit Should Cover Claude's Actions Too</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R26 audits GPT's reads through the service. But Claude — the most privileged actor (holds Bearer tokens, syncs files, modifies manifests) — has no audit trail in this design. Claude's file reads, sync operations, and manifest modifications should also be logged.</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Add audit logging for Claude's sync operations and manifest modifications, at minimum. Claude is the single point of trust in the system. Priority: Before GPT Reader Production.</w:t>
      </w:r>
    </w:p>
    <w:p>
      <w:r>
        <w:br w:type="page"/>
      </w:r>
    </w:p>
    <w:p>
      <w:pPr>
        <w:pStyle w:val="Heading1"/>
      </w:pPr>
      <w:r>
        <w:rPr>
          <w:rFonts w:ascii="Arial" w:cs="Arial" w:eastAsia="Arial" w:hAnsi="Arial"/>
        </w:rPr>
        <w:t xml:space="preserve">6. Low Priority Findings</w:t>
      </w:r>
    </w:p>
    <w:p>
      <w:pPr>
        <w:spacing w:after="80" w:before="240"/>
      </w:pPr>
      <w:r>
        <w:rPr>
          <w:rFonts w:ascii="Arial" w:cs="Arial" w:eastAsia="Arial" w:hAnsi="Arial"/>
          <w:b/>
          <w:bCs/>
          <w:color w:val="01696F"/>
          <w:sz w:val="22"/>
          <w:szCs w:val="22"/>
        </w:rPr>
        <w:t xml:space="preserve">F-14: </w:t>
      </w:r>
      <w:r>
        <w:rPr>
          <w:rFonts w:ascii="Arial" w:cs="Arial" w:eastAsia="Arial" w:hAnsi="Arial"/>
          <w:b/>
          <w:bCs/>
          <w:color w:val="28251D"/>
          <w:sz w:val="22"/>
          <w:szCs w:val="22"/>
        </w:rPr>
        <w:t xml:space="preserve">Documentation Inconsistencies</w:t>
      </w:r>
    </w:p>
    <w:p>
      <w:pPr>
        <w:spacing w:after="60" w:before="60"/>
      </w:pPr>
      <w:r>
        <w:rPr>
          <w:rFonts w:ascii="Arial" w:cs="Arial" w:eastAsia="Arial" w:hAnsi="Arial"/>
          <w:b/>
          <w:bCs/>
          <w:color w:val="7A7974"/>
          <w:sz w:val="20"/>
          <w:szCs w:val="20"/>
        </w:rPr>
        <w:t xml:space="preserve">Finding: </w:t>
      </w:r>
      <w:r>
        <w:rPr>
          <w:rFonts w:ascii="Arial" w:cs="Arial" w:eastAsia="Arial" w:hAnsi="Arial"/>
          <w:color w:val="28251D"/>
          <w:sz w:val="20"/>
          <w:szCs w:val="20"/>
        </w:rPr>
        <w:t xml:space="preserve">Four inconsistencies identified: (1) Privacy policy and terms of use footer say '© 2025' while architecture doc says '© 2026'. (2) Chat welcome message lists Virginia as supported but chat app design doc says only DE and MS are live. (3) Architecture doc 'Chat App Design Document' link points to broken anchor (architecture#) instead of chat-app-design.html. (4) Products &amp; Services nav button appears non-functional.</w:t>
      </w:r>
    </w:p>
    <w:p>
      <w:pPr>
        <w:spacing w:after="60" w:before="60"/>
      </w:pPr>
      <w:r>
        <w:rPr>
          <w:rFonts w:ascii="Arial" w:cs="Arial" w:eastAsia="Arial" w:hAnsi="Arial"/>
          <w:b/>
          <w:bCs/>
          <w:color w:val="7A7974"/>
          <w:sz w:val="20"/>
          <w:szCs w:val="20"/>
        </w:rPr>
        <w:t xml:space="preserve">Recommendation: </w:t>
      </w:r>
      <w:r>
        <w:rPr>
          <w:rFonts w:ascii="Arial" w:cs="Arial" w:eastAsia="Arial" w:hAnsi="Arial"/>
          <w:color w:val="28251D"/>
          <w:sz w:val="20"/>
          <w:szCs w:val="20"/>
        </w:rPr>
        <w:t xml:space="preserve">Fix all four. Minor but creates a sloppy impression for prospects reviewing the site. Priority: Low.</w:t>
      </w:r>
    </w:p>
    <w:p>
      <w:pPr>
        <w:spacing w:after="80" w:before="40"/>
      </w:pPr>
      <w:r>
        <w:rPr>
          <w:rFonts w:ascii="Arial" w:cs="Arial" w:eastAsia="Arial" w:hAnsi="Arial"/>
          <w:b/>
          <w:bCs/>
          <w:color w:val="7A7974"/>
          <w:sz w:val="18"/>
          <w:szCs w:val="18"/>
        </w:rPr>
        <w:t xml:space="preserve">Source: </w:t>
      </w:r>
      <w:hyperlink w:history="1" r:id="rIdcu5nf5n3ncljkbqlgmo10">
        <w:r>
          <w:rPr>
            <w:rStyle w:val="Hyperlink"/>
            <w:rFonts w:ascii="Arial" w:cs="Arial" w:eastAsia="Arial" w:hAnsi="Arial"/>
            <w:sz w:val="18"/>
            <w:szCs w:val="18"/>
          </w:rPr>
          <w:t xml:space="preserve">Privacy Policy</w:t>
        </w:r>
      </w:hyperlink>
      <w:r>
        <w:rPr>
          <w:rFonts w:ascii="Arial" w:cs="Arial" w:eastAsia="Arial" w:hAnsi="Arial"/>
          <w:color w:val="7A7974"/>
          <w:sz w:val="18"/>
          <w:szCs w:val="18"/>
        </w:rPr>
        <w:t xml:space="preserve"> | </w:t>
      </w:r>
      <w:hyperlink w:history="1" r:id="rIdnujb5mugo_vi6jyyheyip">
        <w:r>
          <w:rPr>
            <w:rStyle w:val="Hyperlink"/>
            <w:rFonts w:ascii="Arial" w:cs="Arial" w:eastAsia="Arial" w:hAnsi="Arial"/>
            <w:sz w:val="18"/>
            <w:szCs w:val="18"/>
          </w:rPr>
          <w:t xml:space="preserve">Terms of Use</w:t>
        </w:r>
      </w:hyperlink>
      <w:r>
        <w:rPr>
          <w:rFonts w:ascii="Arial" w:cs="Arial" w:eastAsia="Arial" w:hAnsi="Arial"/>
          <w:color w:val="7A7974"/>
          <w:sz w:val="18"/>
          <w:szCs w:val="18"/>
        </w:rPr>
        <w:t xml:space="preserve"> | </w:t>
      </w:r>
      <w:hyperlink w:history="1" r:id="rIdens8txfmocfdj3yzp1ob7">
        <w:r>
          <w:rPr>
            <w:rStyle w:val="Hyperlink"/>
            <w:rFonts w:ascii="Arial" w:cs="Arial" w:eastAsia="Arial" w:hAnsi="Arial"/>
            <w:sz w:val="18"/>
            <w:szCs w:val="18"/>
          </w:rPr>
          <w:t xml:space="preserve">Architecture Overview</w:t>
        </w:r>
      </w:hyperlink>
    </w:p>
    <w:p>
      <w:pPr>
        <w:pStyle w:val="Heading1"/>
      </w:pPr>
      <w:r>
        <w:rPr>
          <w:rFonts w:ascii="Arial" w:cs="Arial" w:eastAsia="Arial" w:hAnsi="Arial"/>
        </w:rPr>
        <w:t xml:space="preserve">7. Risk Summary</w:t>
      </w:r>
    </w:p>
    <w:p>
      <w:pPr>
        <w:spacing w:after="120" w:before="120"/>
      </w:pPr>
      <w:r>
        <w:rPr>
          <w:rFonts w:ascii="Arial" w:cs="Arial" w:eastAsia="Arial" w:hAnsi="Arial"/>
          <w:color w:val="28251D"/>
          <w:sz w:val="22"/>
          <w:szCs w:val="22"/>
        </w:rPr>
        <w:t xml:space="preserve">The following table summarizes findings by severity and action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312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Count</w:t>
            </w:r>
          </w:p>
        </w:tc>
        <w:tc>
          <w:tcPr>
            <w:tcW w:type="dxa" w:w="312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Finding IDs</w:t>
            </w:r>
          </w:p>
        </w:tc>
      </w:tr>
      <w:tr>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Critical</w:t>
            </w:r>
          </w:p>
        </w:tc>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0</w:t>
            </w:r>
          </w:p>
        </w:tc>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w:t>
            </w:r>
          </w:p>
        </w:tc>
      </w:tr>
      <w:tr>
        <w:tc>
          <w:tcPr>
            <w:tcW w:type="dxa" w:w="312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High</w:t>
            </w:r>
          </w:p>
        </w:tc>
        <w:tc>
          <w:tcPr>
            <w:tcW w:type="dxa" w:w="312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3</w:t>
            </w:r>
          </w:p>
        </w:tc>
        <w:tc>
          <w:tcPr>
            <w:tcW w:type="dxa" w:w="312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F-05, F-06, F-16</w:t>
            </w:r>
          </w:p>
        </w:tc>
      </w:tr>
      <w:tr>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Medium</w:t>
            </w:r>
          </w:p>
        </w:tc>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9</w:t>
            </w:r>
          </w:p>
        </w:tc>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F-07 – F-13, F-17, F-18</w:t>
            </w:r>
          </w:p>
        </w:tc>
      </w:tr>
      <w:tr>
        <w:tc>
          <w:tcPr>
            <w:tcW w:type="dxa" w:w="312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Low</w:t>
            </w:r>
          </w:p>
        </w:tc>
        <w:tc>
          <w:tcPr>
            <w:tcW w:type="dxa" w:w="312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1</w:t>
            </w:r>
          </w:p>
        </w:tc>
        <w:tc>
          <w:tcPr>
            <w:tcW w:type="dxa" w:w="312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F-14</w:t>
            </w:r>
          </w:p>
        </w:tc>
      </w:tr>
      <w:tr>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Strengths</w:t>
            </w:r>
          </w:p>
        </w:tc>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5</w:t>
            </w:r>
          </w:p>
        </w:tc>
        <w:tc>
          <w:tcPr>
            <w:tcW w:type="dxa" w:w="312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F-01 – F-04, F-15</w:t>
            </w:r>
          </w:p>
        </w:tc>
      </w:tr>
    </w:tbl>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Action Timeline</w:t>
            </w:r>
          </w:p>
        </w:tc>
        <w:tc>
          <w:tcPr>
            <w:tcW w:type="dxa" w:w="234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Count</w:t>
            </w:r>
          </w:p>
        </w:tc>
        <w:tc>
          <w:tcPr>
            <w:tcW w:type="dxa" w:w="234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Finding IDs</w:t>
            </w:r>
          </w:p>
        </w:tc>
      </w:tr>
      <w:tr>
        <w:tc>
          <w:tcPr>
            <w:tcW w:type="dxa" w:w="468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Current Sprint</w:t>
            </w:r>
          </w:p>
        </w:tc>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2</w:t>
            </w:r>
          </w:p>
        </w:tc>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F-05, F-07</w:t>
            </w:r>
          </w:p>
        </w:tc>
      </w:tr>
      <w:tr>
        <w:tc>
          <w:tcPr>
            <w:tcW w:type="dxa" w:w="468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Before Alpha (April 30)</w:t>
            </w:r>
          </w:p>
        </w:tc>
        <w:tc>
          <w:tcPr>
            <w:tcW w:type="dxa" w:w="234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6</w:t>
            </w:r>
          </w:p>
        </w:tc>
        <w:tc>
          <w:tcPr>
            <w:tcW w:type="dxa" w:w="234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F-03, F-06, F-08 – F-10, F-12, F-13</w:t>
            </w:r>
          </w:p>
        </w:tc>
      </w:tr>
      <w:tr>
        <w:tc>
          <w:tcPr>
            <w:tcW w:type="dxa" w:w="468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Before GPT Reader Production</w:t>
            </w:r>
          </w:p>
        </w:tc>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3</w:t>
            </w:r>
          </w:p>
        </w:tc>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F-16 – F-18</w:t>
            </w:r>
          </w:p>
        </w:tc>
      </w:tr>
      <w:tr>
        <w:tc>
          <w:tcPr>
            <w:tcW w:type="dxa" w:w="468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Next Pipeline Run</w:t>
            </w:r>
          </w:p>
        </w:tc>
        <w:tc>
          <w:tcPr>
            <w:tcW w:type="dxa" w:w="234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1</w:t>
            </w:r>
          </w:p>
        </w:tc>
        <w:tc>
          <w:tcPr>
            <w:tcW w:type="dxa" w:w="2340"/>
            <w:tcBorders>
              <w:top w:val="single" w:color="D4D1CA" w:sz="1"/>
              <w:left w:val="single" w:color="D4D1CA" w:sz="1"/>
              <w:bottom w:val="single" w:color="D4D1CA" w:sz="1"/>
              <w:right w:val="single" w:color="D4D1CA" w:sz="1"/>
            </w:tcBorders>
            <w:shd w:fill="F7F6F2" w:val="clear"/>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F-11</w:t>
            </w:r>
          </w:p>
        </w:tc>
      </w:tr>
      <w:tr>
        <w:tc>
          <w:tcPr>
            <w:tcW w:type="dxa" w:w="468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Low / Deferred</w:t>
            </w:r>
          </w:p>
        </w:tc>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1</w:t>
            </w:r>
          </w:p>
        </w:tc>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tcPr>
          <w:p>
            <w:pPr>
              <w:spacing w:after="40" w:before="40"/>
            </w:pPr>
            <w:r>
              <w:rPr>
                <w:rFonts w:ascii="Arial" w:cs="Arial" w:eastAsia="Arial" w:hAnsi="Arial"/>
                <w:b w:val="false"/>
                <w:bCs w:val="false"/>
                <w:color w:val="28251D"/>
                <w:sz w:val="20"/>
                <w:szCs w:val="20"/>
              </w:rPr>
              <w:t xml:space="preserve">F-14</w:t>
            </w:r>
          </w:p>
        </w:tc>
      </w:tr>
    </w:tbl>
    <w:p>
      <w:pPr>
        <w:spacing w:after="0" w:before="240"/>
      </w:pPr>
    </w:p>
    <w:p>
      <w:pPr>
        <w:pStyle w:val="Heading1"/>
      </w:pPr>
      <w:r>
        <w:rPr>
          <w:rFonts w:ascii="Arial" w:cs="Arial" w:eastAsia="Arial" w:hAnsi="Arial"/>
        </w:rPr>
        <w:t xml:space="preserve">8. Overall Assessment</w:t>
      </w:r>
    </w:p>
    <w:p>
      <w:pPr>
        <w:spacing w:after="120" w:before="120"/>
      </w:pPr>
      <w:r>
        <w:rPr>
          <w:rFonts w:ascii="Arial" w:cs="Arial" w:eastAsia="Arial" w:hAnsi="Arial"/>
          <w:color w:val="28251D"/>
          <w:sz w:val="22"/>
          <w:szCs w:val="22"/>
        </w:rPr>
        <w:t xml:space="preserve">The platform is architecturally sound and the engineering quality exceeds expectations for pre-alpha. The primary risks are strategic and legal, not technical. The three highest-priority action items are:</w:t>
      </w:r>
    </w:p>
    <w:p>
      <w:pPr>
        <w:pStyle w:val="ListParagraph"/>
        <w:numPr>
          <w:ilvl w:val="0"/>
          <w:numId w:val="3"/>
        </w:numPr>
        <w:spacing w:after="40" w:before="40"/>
      </w:pPr>
      <w:r>
        <w:rPr>
          <w:rFonts w:ascii="Arial" w:cs="Arial" w:eastAsia="Arial" w:hAnsi="Arial"/>
          <w:color w:val="28251D"/>
          <w:sz w:val="22"/>
          <w:szCs w:val="22"/>
        </w:rPr>
        <w:t xml:space="preserve">Implement the tool registry to close the globals() security gap (current sprint, estimated 1 hour).</w:t>
      </w:r>
    </w:p>
    <w:p>
      <w:pPr>
        <w:pStyle w:val="ListParagraph"/>
        <w:numPr>
          <w:ilvl w:val="0"/>
          <w:numId w:val="3"/>
        </w:numPr>
        <w:spacing w:after="40" w:before="40"/>
      </w:pPr>
      <w:r>
        <w:rPr>
          <w:rFonts w:ascii="Arial" w:cs="Arial" w:eastAsia="Arial" w:hAnsi="Arial"/>
          <w:color w:val="28251D"/>
          <w:sz w:val="22"/>
          <w:szCs w:val="22"/>
        </w:rPr>
        <w:t xml:space="preserve">Get legal counsel on FDA/clinical decision support boundary (before Alpha, estimated $5K).</w:t>
      </w:r>
    </w:p>
    <w:p>
      <w:pPr>
        <w:pStyle w:val="ListParagraph"/>
        <w:numPr>
          <w:ilvl w:val="0"/>
          <w:numId w:val="3"/>
        </w:numPr>
        <w:spacing w:after="40" w:before="40"/>
      </w:pPr>
      <w:r>
        <w:rPr>
          <w:rFonts w:ascii="Arial" w:cs="Arial" w:eastAsia="Arial" w:hAnsi="Arial"/>
          <w:color w:val="28251D"/>
          <w:sz w:val="22"/>
          <w:szCs w:val="22"/>
        </w:rPr>
        <w:t xml:space="preserve">Lock architecture docs behind NDA access before Alpha.</w:t>
      </w:r>
    </w:p>
    <w:p>
      <w:pPr>
        <w:spacing w:after="120" w:before="120"/>
      </w:pPr>
      <w:r>
        <w:rPr>
          <w:rFonts w:ascii="Arial" w:cs="Arial" w:eastAsia="Arial" w:hAnsi="Arial"/>
          <w:color w:val="28251D"/>
          <w:sz w:val="22"/>
          <w:szCs w:val="22"/>
        </w:rPr>
        <w:t xml:space="preserve">The Brain governance system and the AI-native operating model are genuine innovations that should be preserved and strengthened. This audit found zero critical issues. The platform is ready to proceed to Alpha.</w:t>
      </w:r>
    </w:p>
    <w:p>
      <w:pPr>
        <w:spacing w:after="0" w:before="400"/>
      </w:pPr>
    </w:p>
    <w:p>
      <w:pPr>
        <w:pBdr>
          <w:top w:val="single" w:color="D4D1CA" w:sz="2"/>
        </w:pBdr>
        <w:spacing w:after="0" w:before="0"/>
      </w:pPr>
    </w:p>
    <w:p>
      <w:pPr>
        <w:spacing w:after="120" w:before="120"/>
      </w:pPr>
      <w:r>
        <w:rPr>
          <w:rFonts w:ascii="Arial" w:cs="Arial" w:eastAsia="Arial" w:hAnsi="Arial"/>
          <w:b/>
          <w:bCs/>
          <w:color w:val="28251D"/>
          <w:sz w:val="22"/>
          <w:szCs w:val="22"/>
        </w:rPr>
        <w:t xml:space="preserve">Perplexity Computer</w:t>
      </w:r>
    </w:p>
    <w:p>
      <w:pPr>
        <w:spacing w:after="120" w:before="120"/>
      </w:pPr>
      <w:r>
        <w:rPr>
          <w:rFonts w:ascii="Arial" w:cs="Arial" w:eastAsia="Arial" w:hAnsi="Arial"/>
          <w:i/>
          <w:iCs/>
          <w:color w:val="7A7974"/>
          <w:sz w:val="22"/>
          <w:szCs w:val="22"/>
        </w:rPr>
        <w:t xml:space="preserve">External Auditor</w:t>
      </w:r>
    </w:p>
    <w:p>
      <w:pPr>
        <w:spacing w:after="120" w:before="120"/>
      </w:pPr>
      <w:r>
        <w:rPr>
          <w:rFonts w:ascii="Arial" w:cs="Arial" w:eastAsia="Arial" w:hAnsi="Arial"/>
          <w:i/>
          <w:iCs/>
          <w:color w:val="7A7974"/>
          <w:sz w:val="22"/>
          <w:szCs w:val="22"/>
        </w:rPr>
        <w:t xml:space="preserve">March 30,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6"/>
        <w:szCs w:val="16"/>
      </w:rPr>
      <w:t xml:space="preserve">Page </w:t>
    </w:r>
    <w:r>
      <w:rPr>
        <w:rFonts w:ascii="Arial" w:cs="Arial" w:eastAsia="Arial" w:hAnsi="Arial"/>
        <w:color w:val="7A7974"/>
        <w:sz w:val="16"/>
        <w:szCs w:val="16"/>
      </w:rPr>
      <w:fldChar w:fldCharType="begin"/>
      <w:instrText xml:space="preserve">PAGE</w:instrText>
      <w:fldChar w:fldCharType="separate"/>
      <w:fldChar w:fldCharType="end"/>
    </w:r>
    <w:r>
      <w:rPr>
        <w:rFonts w:ascii="Arial" w:cs="Arial" w:eastAsia="Arial" w:hAnsi="Arial"/>
        <w:color w:val="7A7974"/>
        <w:sz w:val="16"/>
        <w:szCs w:val="16"/>
      </w:rPr>
      <w:t xml:space="preserve"> of </w:t>
    </w:r>
    <w:r>
      <w:rPr>
        <w:rFonts w:ascii="Arial" w:cs="Arial" w:eastAsia="Arial" w:hAnsi="Arial"/>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A7974"/>
        <w:sz w:val="16"/>
        <w:szCs w:val="16"/>
      </w:rPr>
      <w:t xml:space="preserve">ChatHealthy.ai — External Audit Report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8251D"/>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01696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2qfuzoayz2bjxzzbn2ze" Type="http://schemas.openxmlformats.org/officeDocument/2006/relationships/hyperlink" Target="https://chathealthy.ai/architecture.html" TargetMode="External"/><Relationship Id="rIdiw-duuunhkihc6exe6xak" Type="http://schemas.openxmlformats.org/officeDocument/2006/relationships/hyperlink" Target="https://chathealthy.ai/chat-app-design.html" TargetMode="External"/><Relationship Id="rIdbmks3edqrhf_bzfedyjtk" Type="http://schemas.openxmlformats.org/officeDocument/2006/relationships/hyperlink" Target="https://chathealthy.ai/provider-data-load.html" TargetMode="External"/><Relationship Id="rId6lijmisryk7i1v-i2123n" Type="http://schemas.openxmlformats.org/officeDocument/2006/relationships/hyperlink" Target="https://chathealthy.ai/roadmap" TargetMode="External"/><Relationship Id="rIdgtfngbwksfwmy-hhlqlsx" Type="http://schemas.openxmlformats.org/officeDocument/2006/relationships/hyperlink" Target="https://chathealthy.ai/privacy.html" TargetMode="External"/><Relationship Id="rIdx8jrldchr25ycyptcyz9a" Type="http://schemas.openxmlformats.org/officeDocument/2006/relationships/hyperlink" Target="https://chathealthy.ai/terms.html" TargetMode="External"/><Relationship Id="rIdyvygn9a0tet9iipfgosdj" Type="http://schemas.openxmlformats.org/officeDocument/2006/relationships/hyperlink" Target="https://chathealthy.ai" TargetMode="External"/><Relationship Id="rIddqxaosfxb1jmglrryhgxp" Type="http://schemas.openxmlformats.org/officeDocument/2006/relationships/hyperlink" Target="https://chathealthy.ai/architecture.html" TargetMode="External"/><Relationship Id="rId27oiignpgogvh8rsh53b-" Type="http://schemas.openxmlformats.org/officeDocument/2006/relationships/hyperlink" Target="https://chathealthy.ai/provider-data-load.html" TargetMode="External"/><Relationship Id="rIdj2bdso5yvdgon4_9huh_g" Type="http://schemas.openxmlformats.org/officeDocument/2006/relationships/hyperlink" Target="https://chathealthy.ai/chat-app-design.html" TargetMode="External"/><Relationship Id="rIdvpudynjk_likwp0mke31v" Type="http://schemas.openxmlformats.org/officeDocument/2006/relationships/hyperlink" Target="https://chathealthy.ai/provider-data-load.html" TargetMode="External"/><Relationship Id="rIdelxyx3hsbbte9-i0uejpf" Type="http://schemas.openxmlformats.org/officeDocument/2006/relationships/hyperlink" Target="https://chathealthy.ai/chat-app-design.html" TargetMode="External"/><Relationship Id="rIdn65uaox6i2cf3f0-ydoic" Type="http://schemas.openxmlformats.org/officeDocument/2006/relationships/hyperlink" Target="https://chathealthy.ai/provider-data-load.html" TargetMode="External"/><Relationship Id="rIdumt2hb7oeerlmqxea1bay" Type="http://schemas.openxmlformats.org/officeDocument/2006/relationships/hyperlink" Target="https://chathealthy.ai/chat-app-design.html" TargetMode="External"/><Relationship Id="rIduu8_lcso0jctswjttws9m" Type="http://schemas.openxmlformats.org/officeDocument/2006/relationships/hyperlink" Target="https://chathealthy.ai/roadmap" TargetMode="External"/><Relationship Id="rIdjsqtcxdqxzoi7srlpfuoe" Type="http://schemas.openxmlformats.org/officeDocument/2006/relationships/hyperlink" Target="https://chathealthy.ai/chat-app-design.html" TargetMode="External"/><Relationship Id="rIdsos962dvr7h9duljnymx1" Type="http://schemas.openxmlformats.org/officeDocument/2006/relationships/hyperlink" Target="https://chathealthy.ai/chat-app-design.html" TargetMode="External"/><Relationship Id="rIdvuwxgu-fd7pi_z5y9vghu" Type="http://schemas.openxmlformats.org/officeDocument/2006/relationships/hyperlink" Target="https://chathealthy.ai/provider-data-load.html" TargetMode="External"/><Relationship Id="rIdk02dxulmbn54e_tsydtqc" Type="http://schemas.openxmlformats.org/officeDocument/2006/relationships/hyperlink" Target="https://chathealthy.ai/privacy.html" TargetMode="External"/><Relationship Id="rIdfg4symihzsyiut62g5itm" Type="http://schemas.openxmlformats.org/officeDocument/2006/relationships/hyperlink" Target="https://chathealthy.ai/architecture.html" TargetMode="External"/><Relationship Id="rIdwgn8rrijcughvllkj_pxx" Type="http://schemas.openxmlformats.org/officeDocument/2006/relationships/hyperlink" Target="https://chathealthy.ai/chat-app-design.html" TargetMode="External"/><Relationship Id="rIdtfyokitwrdhtzlwpunvrb" Type="http://schemas.openxmlformats.org/officeDocument/2006/relationships/hyperlink" Target="https://chathealthy.ai/provider-data-load.html" TargetMode="External"/><Relationship Id="rIdcu5nf5n3ncljkbqlgmo10" Type="http://schemas.openxmlformats.org/officeDocument/2006/relationships/hyperlink" Target="https://chathealthy.ai/privacy.html" TargetMode="External"/><Relationship Id="rIdnujb5mugo_vi6jyyheyip" Type="http://schemas.openxmlformats.org/officeDocument/2006/relationships/hyperlink" Target="https://chathealthy.ai/terms.html" TargetMode="External"/><Relationship Id="rIdens8txfmocfdj3yzp1ob7" Type="http://schemas.openxmlformats.org/officeDocument/2006/relationships/hyperlink" Target="https://chathealthy.ai/architecture.html" TargetMode="External"/><Relationship Id="rId3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2026-03-30T23:07:26.297Z</dcterms:created>
  <dcterms:modified xsi:type="dcterms:W3CDTF">2026-03-30T23:07:26.313Z</dcterms:modified>
</cp:coreProperties>
</file>

<file path=docProps/custom.xml><?xml version="1.0" encoding="utf-8"?>
<Properties xmlns="http://schemas.openxmlformats.org/officeDocument/2006/custom-properties" xmlns:vt="http://schemas.openxmlformats.org/officeDocument/2006/docPropsVTypes"/>
</file>