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4"/>
        </w:rPr>
        <w:t>Medicare CMS Normalization Design</w:t>
      </w:r>
    </w:p>
    <w:p>
      <w:r>
        <w:rPr>
          <w:color w:val="555555"/>
          <w:sz w:val="24"/>
        </w:rPr>
        <w:t>Normalizing the denormalized, joint-keyed CMS source files into the ProviderMedicare and SpecialtyMedicare collections</w:t>
      </w:r>
    </w:p>
    <w:p>
      <w:r>
        <w:rPr>
          <w:color w:val="555555"/>
          <w:sz w:val="18"/>
        </w:rPr>
        <w:t>Version 1  ·  EPIC-010-F-007  ·  Medicare Provider Evaluation Data Pipeline</w:t>
      </w:r>
    </w:p>
    <w:p/>
    <w:p>
      <w:pPr>
        <w:pStyle w:val="Heading1"/>
      </w:pPr>
      <w:r>
        <w:t>1. Purpose and Scope</w:t>
      </w:r>
    </w:p>
    <w:p>
      <w:pPr>
        <w:spacing w:after="160"/>
      </w:pPr>
      <w:r>
        <w:t>This document specifies how the Medicare Provider Evaluation Data Pipeline produces its two front-end collections, ProviderMedicare and SpecialtyMedicare, from the public CMS Medicare Part B and Part D files. Those files are denormalized and joint-keyed: each carries many rows per provider. The pipeline's job is to normalize and aggregate those rows up to the firm's target grain. This document states the source grain as the official CMS data dictionaries define it, the target grain the collections are built to, the normalization and aggregation rules that connect the two, the join rule that attaches source rows to provider records, and the findings the build records when a row cannot be placed.</w:t>
      </w:r>
    </w:p>
    <w:p>
      <w:pPr>
        <w:spacing w:after="160"/>
      </w:pPr>
      <w:r>
        <w:t>In scope: the base build of ProviderMedicare, the enrich pass that re-grains drugs to RXCUI, and the SpecialtyMedicare rollup. Out of scope: the discrepancy-report visual-template refactor, which is a separate effort that consumes the findings this design records.</w:t>
      </w:r>
    </w:p>
    <w:p>
      <w:pPr>
        <w:pStyle w:val="Heading1"/>
      </w:pPr>
      <w:r>
        <w:t>2. The CMS Source As It Actually Is</w:t>
      </w:r>
    </w:p>
    <w:p>
      <w:pPr>
        <w:spacing w:after="160"/>
      </w:pPr>
      <w:r>
        <w:t>Both CMS files are national extracts published one row per provider-and-item combination, not one row per provider. A single NPI appears on as many rows as it has distinct drugs or distinct services. The record key of each file is a compound key, and the state column on each file is the provider's NPPES-located state, not the firm's business-mailing-address partition key.</w:t>
      </w:r>
    </w:p>
    <w:p>
      <w:pPr>
        <w:pStyle w:val="Heading2"/>
      </w:pPr>
      <w:r>
        <w:t>2.1 Part D — Prescribers by Provider and Drug</w:t>
      </w:r>
    </w:p>
    <w:p>
      <w:pPr>
        <w:spacing w:after="160"/>
      </w:pPr>
      <w:r>
        <w:t>Record key: Prscrbr_NPI + Brnd_Name + Gnrc_Name. One NPI maps to many rows, one per distinct drug. The state column Prscrbr_State_Abrvtn is the state where the provider is located as reported in NPPES.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A5F"/>
          </w:tcPr>
          <w:p>
            <w:r/>
            <w:r>
              <w:rPr>
                <w:b/>
                <w:color w:val="FFFFFF"/>
                <w:sz w:val="18"/>
              </w:rPr>
              <w:t>CMS column</w:t>
            </w:r>
          </w:p>
        </w:tc>
        <w:tc>
          <w:tcPr>
            <w:tcW w:type="dxa" w:w="2880"/>
            <w:shd w:val="clear" w:color="auto" w:fill="1F3A5F"/>
          </w:tcPr>
          <w:p>
            <w:r/>
            <w:r>
              <w:rPr>
                <w:b/>
                <w:color w:val="FFFFFF"/>
                <w:sz w:val="18"/>
              </w:rPr>
              <w:t>Meaning</w:t>
            </w:r>
          </w:p>
        </w:tc>
        <w:tc>
          <w:tcPr>
            <w:tcW w:type="dxa" w:w="2880"/>
            <w:shd w:val="clear" w:color="auto" w:fill="1F3A5F"/>
          </w:tcPr>
          <w:p>
            <w:r/>
            <w:r>
              <w:rPr>
                <w:b/>
                <w:color w:val="FFFFFF"/>
                <w:sz w:val="18"/>
              </w:rPr>
              <w:t>Role in normalization</w:t>
            </w:r>
          </w:p>
        </w:tc>
      </w:tr>
      <w:tr>
        <w:tc>
          <w:tcPr>
            <w:tcW w:type="dxa" w:w="2880"/>
          </w:tcPr>
          <w:p>
            <w:r/>
            <w:r>
              <w:rPr>
                <w:sz w:val="18"/>
              </w:rPr>
              <w:t>Prscrbr_NPI</w:t>
            </w:r>
          </w:p>
        </w:tc>
        <w:tc>
          <w:tcPr>
            <w:tcW w:type="dxa" w:w="2880"/>
          </w:tcPr>
          <w:p>
            <w:r/>
            <w:r>
              <w:rPr>
                <w:sz w:val="18"/>
              </w:rPr>
              <w:t>Prescribing provider NPI</w:t>
            </w:r>
          </w:p>
        </w:tc>
        <w:tc>
          <w:tcPr>
            <w:tcW w:type="dxa" w:w="2880"/>
          </w:tcPr>
          <w:p>
            <w:r/>
            <w:r>
              <w:rPr>
                <w:sz w:val="18"/>
              </w:rPr>
              <w:t>Join key to Provider collection</w:t>
            </w:r>
          </w:p>
        </w:tc>
      </w:tr>
      <w:tr>
        <w:tc>
          <w:tcPr>
            <w:tcW w:type="dxa" w:w="2880"/>
          </w:tcPr>
          <w:p>
            <w:r/>
            <w:r>
              <w:rPr>
                <w:sz w:val="18"/>
              </w:rPr>
              <w:t>Brnd_Name</w:t>
            </w:r>
          </w:p>
        </w:tc>
        <w:tc>
          <w:tcPr>
            <w:tcW w:type="dxa" w:w="2880"/>
          </w:tcPr>
          <w:p>
            <w:r/>
            <w:r>
              <w:rPr>
                <w:sz w:val="18"/>
              </w:rPr>
              <w:t>Brand name of drug</w:t>
            </w:r>
          </w:p>
        </w:tc>
        <w:tc>
          <w:tcPr>
            <w:tcW w:type="dxa" w:w="2880"/>
          </w:tcPr>
          <w:p>
            <w:r/>
            <w:r>
              <w:rPr>
                <w:sz w:val="18"/>
              </w:rPr>
              <w:t>Part of source key; resolved to RXCUI in enrich</w:t>
            </w:r>
          </w:p>
        </w:tc>
      </w:tr>
      <w:tr>
        <w:tc>
          <w:tcPr>
            <w:tcW w:type="dxa" w:w="2880"/>
          </w:tcPr>
          <w:p>
            <w:r/>
            <w:r>
              <w:rPr>
                <w:sz w:val="18"/>
              </w:rPr>
              <w:t>Gnrc_Name</w:t>
            </w:r>
          </w:p>
        </w:tc>
        <w:tc>
          <w:tcPr>
            <w:tcW w:type="dxa" w:w="2880"/>
          </w:tcPr>
          <w:p>
            <w:r/>
            <w:r>
              <w:rPr>
                <w:sz w:val="18"/>
              </w:rPr>
              <w:t>Generic name of drug</w:t>
            </w:r>
          </w:p>
        </w:tc>
        <w:tc>
          <w:tcPr>
            <w:tcW w:type="dxa" w:w="2880"/>
          </w:tcPr>
          <w:p>
            <w:r/>
            <w:r>
              <w:rPr>
                <w:sz w:val="18"/>
              </w:rPr>
              <w:t>Part of source key; resolved to RXCUI in enrich</w:t>
            </w:r>
          </w:p>
        </w:tc>
      </w:tr>
      <w:tr>
        <w:tc>
          <w:tcPr>
            <w:tcW w:type="dxa" w:w="2880"/>
          </w:tcPr>
          <w:p>
            <w:r/>
            <w:r>
              <w:rPr>
                <w:sz w:val="18"/>
              </w:rPr>
              <w:t>Prscrbr_State_Abrvtn</w:t>
            </w:r>
          </w:p>
        </w:tc>
        <w:tc>
          <w:tcPr>
            <w:tcW w:type="dxa" w:w="2880"/>
          </w:tcPr>
          <w:p>
            <w:r/>
            <w:r>
              <w:rPr>
                <w:sz w:val="18"/>
              </w:rPr>
              <w:t>NPPES-located state</w:t>
            </w:r>
          </w:p>
        </w:tc>
        <w:tc>
          <w:tcPr>
            <w:tcW w:type="dxa" w:w="2880"/>
          </w:tcPr>
          <w:p>
            <w:r/>
            <w:r>
              <w:rPr>
                <w:sz w:val="18"/>
              </w:rPr>
              <w:t>Fan-out dimension only — never a join key</w:t>
            </w:r>
          </w:p>
        </w:tc>
      </w:tr>
      <w:tr>
        <w:tc>
          <w:tcPr>
            <w:tcW w:type="dxa" w:w="2880"/>
          </w:tcPr>
          <w:p>
            <w:r/>
            <w:r>
              <w:rPr>
                <w:sz w:val="18"/>
              </w:rPr>
              <w:t>Tot_Clms</w:t>
            </w:r>
          </w:p>
        </w:tc>
        <w:tc>
          <w:tcPr>
            <w:tcW w:type="dxa" w:w="2880"/>
          </w:tcPr>
          <w:p>
            <w:r/>
            <w:r>
              <w:rPr>
                <w:sz w:val="18"/>
              </w:rPr>
              <w:t>Total claims</w:t>
            </w:r>
          </w:p>
        </w:tc>
        <w:tc>
          <w:tcPr>
            <w:tcW w:type="dxa" w:w="2880"/>
          </w:tcPr>
          <w:p>
            <w:r/>
            <w:r>
              <w:rPr>
                <w:sz w:val="18"/>
              </w:rPr>
              <w:t>Summed on drug collapse</w:t>
            </w:r>
          </w:p>
        </w:tc>
      </w:tr>
      <w:tr>
        <w:tc>
          <w:tcPr>
            <w:tcW w:type="dxa" w:w="2880"/>
          </w:tcPr>
          <w:p>
            <w:r/>
            <w:r>
              <w:rPr>
                <w:sz w:val="18"/>
              </w:rPr>
              <w:t>Tot_Day_Suply</w:t>
            </w:r>
          </w:p>
        </w:tc>
        <w:tc>
          <w:tcPr>
            <w:tcW w:type="dxa" w:w="2880"/>
          </w:tcPr>
          <w:p>
            <w:r/>
            <w:r>
              <w:rPr>
                <w:sz w:val="18"/>
              </w:rPr>
              <w:t>Total day supply</w:t>
            </w:r>
          </w:p>
        </w:tc>
        <w:tc>
          <w:tcPr>
            <w:tcW w:type="dxa" w:w="2880"/>
          </w:tcPr>
          <w:p>
            <w:r/>
            <w:r>
              <w:rPr>
                <w:sz w:val="18"/>
              </w:rPr>
              <w:t>Summed on drug collapse</w:t>
            </w:r>
          </w:p>
        </w:tc>
      </w:tr>
      <w:tr>
        <w:tc>
          <w:tcPr>
            <w:tcW w:type="dxa" w:w="2880"/>
          </w:tcPr>
          <w:p>
            <w:r/>
            <w:r>
              <w:rPr>
                <w:sz w:val="18"/>
              </w:rPr>
              <w:t>Tot_Benes</w:t>
            </w:r>
          </w:p>
        </w:tc>
        <w:tc>
          <w:tcPr>
            <w:tcW w:type="dxa" w:w="2880"/>
          </w:tcPr>
          <w:p>
            <w:r/>
            <w:r>
              <w:rPr>
                <w:sz w:val="18"/>
              </w:rPr>
              <w:t>Total beneficiaries</w:t>
            </w:r>
          </w:p>
        </w:tc>
        <w:tc>
          <w:tcPr>
            <w:tcW w:type="dxa" w:w="2880"/>
          </w:tcPr>
          <w:p>
            <w:r/>
            <w:r>
              <w:rPr>
                <w:sz w:val="18"/>
              </w:rPr>
              <w:t>Summed on drug collapse</w:t>
            </w:r>
          </w:p>
        </w:tc>
      </w:tr>
      <w:tr>
        <w:tc>
          <w:tcPr>
            <w:tcW w:type="dxa" w:w="2880"/>
          </w:tcPr>
          <w:p>
            <w:r/>
            <w:r>
              <w:rPr>
                <w:sz w:val="18"/>
              </w:rPr>
              <w:t>Tot_Drug_Cst</w:t>
            </w:r>
          </w:p>
        </w:tc>
        <w:tc>
          <w:tcPr>
            <w:tcW w:type="dxa" w:w="2880"/>
          </w:tcPr>
          <w:p>
            <w:r/>
            <w:r>
              <w:rPr>
                <w:sz w:val="18"/>
              </w:rPr>
              <w:t>Total drug cost</w:t>
            </w:r>
          </w:p>
        </w:tc>
        <w:tc>
          <w:tcPr>
            <w:tcW w:type="dxa" w:w="2880"/>
          </w:tcPr>
          <w:p>
            <w:r/>
            <w:r>
              <w:rPr>
                <w:sz w:val="18"/>
              </w:rPr>
              <w:t>Summed on drug collapse</w:t>
            </w:r>
          </w:p>
        </w:tc>
      </w:tr>
    </w:tbl>
    <w:p>
      <w:pPr>
        <w:spacing w:after="200"/>
      </w:pPr>
      <w:r>
        <w:rPr>
          <w:i/>
          <w:color w:val="555555"/>
          <w:sz w:val="16"/>
        </w:rPr>
        <w:t>Table 2.1 — Part D 'by Provider and Drug' source columns.</w:t>
      </w:r>
    </w:p>
    <w:p>
      <w:pPr>
        <w:pStyle w:val="Heading2"/>
      </w:pPr>
      <w:r>
        <w:t>2.2 Part B — by Provider and Service</w:t>
      </w:r>
    </w:p>
    <w:p>
      <w:pPr>
        <w:spacing w:after="160"/>
      </w:pPr>
      <w:r>
        <w:t>Record key: Rndrng_NPI + HCPCS_Cd + Place_Of_Srvc — a three-part key. Place_Of_Srvc distinguishes facility (F) from non-facility (O) delivery, so a single provider-and-HCPCS pair can appear on two rows, one per place of service. One NPI maps to many rows. The state column Rndrng_Prvdr_State_Abrvtn carries the same NPPES-located caveat as Part 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A5F"/>
          </w:tcPr>
          <w:p>
            <w:r/>
            <w:r>
              <w:rPr>
                <w:b/>
                <w:color w:val="FFFFFF"/>
                <w:sz w:val="18"/>
              </w:rPr>
              <w:t>CMS column</w:t>
            </w:r>
          </w:p>
        </w:tc>
        <w:tc>
          <w:tcPr>
            <w:tcW w:type="dxa" w:w="2880"/>
            <w:shd w:val="clear" w:color="auto" w:fill="1F3A5F"/>
          </w:tcPr>
          <w:p>
            <w:r/>
            <w:r>
              <w:rPr>
                <w:b/>
                <w:color w:val="FFFFFF"/>
                <w:sz w:val="18"/>
              </w:rPr>
              <w:t>Meaning</w:t>
            </w:r>
          </w:p>
        </w:tc>
        <w:tc>
          <w:tcPr>
            <w:tcW w:type="dxa" w:w="2880"/>
            <w:shd w:val="clear" w:color="auto" w:fill="1F3A5F"/>
          </w:tcPr>
          <w:p>
            <w:r/>
            <w:r>
              <w:rPr>
                <w:b/>
                <w:color w:val="FFFFFF"/>
                <w:sz w:val="18"/>
              </w:rPr>
              <w:t>Role in normalization</w:t>
            </w:r>
          </w:p>
        </w:tc>
      </w:tr>
      <w:tr>
        <w:tc>
          <w:tcPr>
            <w:tcW w:type="dxa" w:w="2880"/>
          </w:tcPr>
          <w:p>
            <w:r/>
            <w:r>
              <w:rPr>
                <w:sz w:val="18"/>
              </w:rPr>
              <w:t>Rndrng_NPI</w:t>
            </w:r>
          </w:p>
        </w:tc>
        <w:tc>
          <w:tcPr>
            <w:tcW w:type="dxa" w:w="2880"/>
          </w:tcPr>
          <w:p>
            <w:r/>
            <w:r>
              <w:rPr>
                <w:sz w:val="18"/>
              </w:rPr>
              <w:t>Rendering provider NPI</w:t>
            </w:r>
          </w:p>
        </w:tc>
        <w:tc>
          <w:tcPr>
            <w:tcW w:type="dxa" w:w="2880"/>
          </w:tcPr>
          <w:p>
            <w:r/>
            <w:r>
              <w:rPr>
                <w:sz w:val="18"/>
              </w:rPr>
              <w:t>Join key to Provider collection</w:t>
            </w:r>
          </w:p>
        </w:tc>
      </w:tr>
      <w:tr>
        <w:tc>
          <w:tcPr>
            <w:tcW w:type="dxa" w:w="2880"/>
          </w:tcPr>
          <w:p>
            <w:r/>
            <w:r>
              <w:rPr>
                <w:sz w:val="18"/>
              </w:rPr>
              <w:t>HCPCS_Cd</w:t>
            </w:r>
          </w:p>
        </w:tc>
        <w:tc>
          <w:tcPr>
            <w:tcW w:type="dxa" w:w="2880"/>
          </w:tcPr>
          <w:p>
            <w:r/>
            <w:r>
              <w:rPr>
                <w:sz w:val="18"/>
              </w:rPr>
              <w:t>Procedure (HCPCS) code</w:t>
            </w:r>
          </w:p>
        </w:tc>
        <w:tc>
          <w:tcPr>
            <w:tcW w:type="dxa" w:w="2880"/>
          </w:tcPr>
          <w:p>
            <w:r/>
            <w:r>
              <w:rPr>
                <w:sz w:val="18"/>
              </w:rPr>
              <w:t>Part of source key; target grain for procedures</w:t>
            </w:r>
          </w:p>
        </w:tc>
      </w:tr>
      <w:tr>
        <w:tc>
          <w:tcPr>
            <w:tcW w:type="dxa" w:w="2880"/>
          </w:tcPr>
          <w:p>
            <w:r/>
            <w:r>
              <w:rPr>
                <w:sz w:val="18"/>
              </w:rPr>
              <w:t>Place_Of_Srvc</w:t>
            </w:r>
          </w:p>
        </w:tc>
        <w:tc>
          <w:tcPr>
            <w:tcW w:type="dxa" w:w="2880"/>
          </w:tcPr>
          <w:p>
            <w:r/>
            <w:r>
              <w:rPr>
                <w:sz w:val="18"/>
              </w:rPr>
              <w:t>Facility (F) / non-facility (O)</w:t>
            </w:r>
          </w:p>
        </w:tc>
        <w:tc>
          <w:tcPr>
            <w:tcW w:type="dxa" w:w="2880"/>
          </w:tcPr>
          <w:p>
            <w:r/>
            <w:r>
              <w:rPr>
                <w:sz w:val="18"/>
              </w:rPr>
              <w:t>Part of source key; collapsed into one HCPCS entry</w:t>
            </w:r>
          </w:p>
        </w:tc>
      </w:tr>
      <w:tr>
        <w:tc>
          <w:tcPr>
            <w:tcW w:type="dxa" w:w="2880"/>
          </w:tcPr>
          <w:p>
            <w:r/>
            <w:r>
              <w:rPr>
                <w:sz w:val="18"/>
              </w:rPr>
              <w:t>HCPCS_Desc</w:t>
            </w:r>
          </w:p>
        </w:tc>
        <w:tc>
          <w:tcPr>
            <w:tcW w:type="dxa" w:w="2880"/>
          </w:tcPr>
          <w:p>
            <w:r/>
            <w:r>
              <w:rPr>
                <w:sz w:val="18"/>
              </w:rPr>
              <w:t>Procedure descriptor</w:t>
            </w:r>
          </w:p>
        </w:tc>
        <w:tc>
          <w:tcPr>
            <w:tcW w:type="dxa" w:w="2880"/>
          </w:tcPr>
          <w:p>
            <w:r/>
            <w:r>
              <w:rPr>
                <w:sz w:val="18"/>
              </w:rPr>
              <w:t>Carried onto the collapsed entry</w:t>
            </w:r>
          </w:p>
        </w:tc>
      </w:tr>
      <w:tr>
        <w:tc>
          <w:tcPr>
            <w:tcW w:type="dxa" w:w="2880"/>
          </w:tcPr>
          <w:p>
            <w:r/>
            <w:r>
              <w:rPr>
                <w:sz w:val="18"/>
              </w:rPr>
              <w:t>Rndrng_Prvdr_State_Abrvtn</w:t>
            </w:r>
          </w:p>
        </w:tc>
        <w:tc>
          <w:tcPr>
            <w:tcW w:type="dxa" w:w="2880"/>
          </w:tcPr>
          <w:p>
            <w:r/>
            <w:r>
              <w:rPr>
                <w:sz w:val="18"/>
              </w:rPr>
              <w:t>NPPES-located state</w:t>
            </w:r>
          </w:p>
        </w:tc>
        <w:tc>
          <w:tcPr>
            <w:tcW w:type="dxa" w:w="2880"/>
          </w:tcPr>
          <w:p>
            <w:r/>
            <w:r>
              <w:rPr>
                <w:sz w:val="18"/>
              </w:rPr>
              <w:t>Fan-out dimension only — never a join key</w:t>
            </w:r>
          </w:p>
        </w:tc>
      </w:tr>
      <w:tr>
        <w:tc>
          <w:tcPr>
            <w:tcW w:type="dxa" w:w="2880"/>
          </w:tcPr>
          <w:p>
            <w:r/>
            <w:r>
              <w:rPr>
                <w:sz w:val="18"/>
              </w:rPr>
              <w:t>Tot_Srvcs</w:t>
            </w:r>
          </w:p>
        </w:tc>
        <w:tc>
          <w:tcPr>
            <w:tcW w:type="dxa" w:w="2880"/>
          </w:tcPr>
          <w:p>
            <w:r/>
            <w:r>
              <w:rPr>
                <w:sz w:val="18"/>
              </w:rPr>
              <w:t>Total services</w:t>
            </w:r>
          </w:p>
        </w:tc>
        <w:tc>
          <w:tcPr>
            <w:tcW w:type="dxa" w:w="2880"/>
          </w:tcPr>
          <w:p>
            <w:r/>
            <w:r>
              <w:rPr>
                <w:sz w:val="18"/>
              </w:rPr>
              <w:t>Summed across the two place-of-service rows</w:t>
            </w:r>
          </w:p>
        </w:tc>
      </w:tr>
      <w:tr>
        <w:tc>
          <w:tcPr>
            <w:tcW w:type="dxa" w:w="2880"/>
          </w:tcPr>
          <w:p>
            <w:r/>
            <w:r>
              <w:rPr>
                <w:sz w:val="18"/>
              </w:rPr>
              <w:t>Tot_Benes</w:t>
            </w:r>
          </w:p>
        </w:tc>
        <w:tc>
          <w:tcPr>
            <w:tcW w:type="dxa" w:w="2880"/>
          </w:tcPr>
          <w:p>
            <w:r/>
            <w:r>
              <w:rPr>
                <w:sz w:val="18"/>
              </w:rPr>
              <w:t>Total beneficiaries</w:t>
            </w:r>
          </w:p>
        </w:tc>
        <w:tc>
          <w:tcPr>
            <w:tcW w:type="dxa" w:w="2880"/>
          </w:tcPr>
          <w:p>
            <w:r/>
            <w:r>
              <w:rPr>
                <w:sz w:val="18"/>
              </w:rPr>
              <w:t>Summed across the two place-of-service rows</w:t>
            </w:r>
          </w:p>
        </w:tc>
      </w:tr>
      <w:tr>
        <w:tc>
          <w:tcPr>
            <w:tcW w:type="dxa" w:w="2880"/>
          </w:tcPr>
          <w:p>
            <w:r/>
            <w:r>
              <w:rPr>
                <w:sz w:val="18"/>
              </w:rPr>
              <w:t>Avg_Sbmtd_Chrg</w:t>
            </w:r>
          </w:p>
        </w:tc>
        <w:tc>
          <w:tcPr>
            <w:tcW w:type="dxa" w:w="2880"/>
          </w:tcPr>
          <w:p>
            <w:r/>
            <w:r>
              <w:rPr>
                <w:sz w:val="18"/>
              </w:rPr>
              <w:t>Average submitted charge</w:t>
            </w:r>
          </w:p>
        </w:tc>
        <w:tc>
          <w:tcPr>
            <w:tcW w:type="dxa" w:w="2880"/>
          </w:tcPr>
          <w:p>
            <w:r/>
            <w:r>
              <w:rPr>
                <w:sz w:val="18"/>
              </w:rPr>
              <w:t>Carried per place of service (not averaged)</w:t>
            </w:r>
          </w:p>
        </w:tc>
      </w:tr>
      <w:tr>
        <w:tc>
          <w:tcPr>
            <w:tcW w:type="dxa" w:w="2880"/>
          </w:tcPr>
          <w:p>
            <w:r/>
            <w:r>
              <w:rPr>
                <w:sz w:val="18"/>
              </w:rPr>
              <w:t>Avg_Mdcr_Alowd_Amt</w:t>
            </w:r>
          </w:p>
        </w:tc>
        <w:tc>
          <w:tcPr>
            <w:tcW w:type="dxa" w:w="2880"/>
          </w:tcPr>
          <w:p>
            <w:r/>
            <w:r>
              <w:rPr>
                <w:sz w:val="18"/>
              </w:rPr>
              <w:t>Average Medicare allowed amount</w:t>
            </w:r>
          </w:p>
        </w:tc>
        <w:tc>
          <w:tcPr>
            <w:tcW w:type="dxa" w:w="2880"/>
          </w:tcPr>
          <w:p>
            <w:r/>
            <w:r>
              <w:rPr>
                <w:sz w:val="18"/>
              </w:rPr>
              <w:t>Carried per place of service (not averaged)</w:t>
            </w:r>
          </w:p>
        </w:tc>
      </w:tr>
      <w:tr>
        <w:tc>
          <w:tcPr>
            <w:tcW w:type="dxa" w:w="2880"/>
          </w:tcPr>
          <w:p>
            <w:r/>
            <w:r>
              <w:rPr>
                <w:sz w:val="18"/>
              </w:rPr>
              <w:t>Avg_Mdcr_Pymt_Amt</w:t>
            </w:r>
          </w:p>
        </w:tc>
        <w:tc>
          <w:tcPr>
            <w:tcW w:type="dxa" w:w="2880"/>
          </w:tcPr>
          <w:p>
            <w:r/>
            <w:r>
              <w:rPr>
                <w:sz w:val="18"/>
              </w:rPr>
              <w:t>Average Medicare payment amount</w:t>
            </w:r>
          </w:p>
        </w:tc>
        <w:tc>
          <w:tcPr>
            <w:tcW w:type="dxa" w:w="2880"/>
          </w:tcPr>
          <w:p>
            <w:r/>
            <w:r>
              <w:rPr>
                <w:sz w:val="18"/>
              </w:rPr>
              <w:t>Carried per place of service (not averaged)</w:t>
            </w:r>
          </w:p>
        </w:tc>
      </w:tr>
    </w:tbl>
    <w:p>
      <w:pPr>
        <w:spacing w:after="200"/>
      </w:pPr>
      <w:r>
        <w:rPr>
          <w:i/>
          <w:color w:val="555555"/>
          <w:sz w:val="16"/>
        </w:rPr>
        <w:t>Table 2.2 — Part B 'by Provider and Service' source columns.</w:t>
      </w:r>
    </w:p>
    <w:p>
      <w:pPr>
        <w:pStyle w:val="Heading2"/>
      </w:pPr>
      <w:r>
        <w:t>2.3 The suppression floor</w:t>
      </w:r>
    </w:p>
    <w:p>
      <w:pPr>
        <w:spacing w:after="160"/>
      </w:pPr>
      <w:r>
        <w:t>CMS suppresses any row representing fewer than 11 claims or 10 or fewer beneficiaries. As a consequence the source is not exhaustive: a provider may be present on some drugs or services and absent on others, and a provider whose every item falls under the floor does not appear in the file at all. The build treats absence as absence — it never infers a zero or fabricates a suppressed row.</w:t>
      </w:r>
    </w:p>
    <w:p>
      <w:pPr>
        <w:pStyle w:val="Heading1"/>
      </w:pPr>
      <w:r>
        <w:t>3. Target Grain</w:t>
      </w:r>
    </w:p>
    <w:p>
      <w:pPr>
        <w:spacing w:after="160"/>
      </w:pPr>
      <w:r>
        <w:t>The two collections are built to the following grains. Each aggregates many source rows into exactly one entry per target key.</w:t>
      </w:r>
    </w:p>
    <w:p>
      <w:pPr>
        <w:pStyle w:val="Heading2"/>
      </w:pPr>
      <w:r>
        <w:t>3.1 ProviderMedicare — keyed by NPI</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A5F"/>
          </w:tcPr>
          <w:p>
            <w:r/>
            <w:r>
              <w:rPr>
                <w:b/>
                <w:color w:val="FFFFFF"/>
                <w:sz w:val="18"/>
              </w:rPr>
              <w:t>Array</w:t>
            </w:r>
          </w:p>
        </w:tc>
        <w:tc>
          <w:tcPr>
            <w:tcW w:type="dxa" w:w="2880"/>
            <w:shd w:val="clear" w:color="auto" w:fill="1F3A5F"/>
          </w:tcPr>
          <w:p>
            <w:r/>
            <w:r>
              <w:rPr>
                <w:b/>
                <w:color w:val="FFFFFF"/>
                <w:sz w:val="18"/>
              </w:rPr>
              <w:t>Grain (one entry per)</w:t>
            </w:r>
          </w:p>
        </w:tc>
        <w:tc>
          <w:tcPr>
            <w:tcW w:type="dxa" w:w="2880"/>
            <w:shd w:val="clear" w:color="auto" w:fill="1F3A5F"/>
          </w:tcPr>
          <w:p>
            <w:r/>
            <w:r>
              <w:rPr>
                <w:b/>
                <w:color w:val="FFFFFF"/>
                <w:sz w:val="18"/>
              </w:rPr>
              <w:t>Source rows collapsed into it</w:t>
            </w:r>
          </w:p>
        </w:tc>
      </w:tr>
      <w:tr>
        <w:tc>
          <w:tcPr>
            <w:tcW w:type="dxa" w:w="2880"/>
          </w:tcPr>
          <w:p>
            <w:r/>
            <w:r>
              <w:rPr>
                <w:sz w:val="18"/>
              </w:rPr>
              <w:t>procedures[]</w:t>
            </w:r>
          </w:p>
        </w:tc>
        <w:tc>
          <w:tcPr>
            <w:tcW w:type="dxa" w:w="2880"/>
          </w:tcPr>
          <w:p>
            <w:r/>
            <w:r>
              <w:rPr>
                <w:sz w:val="18"/>
              </w:rPr>
              <w:t>HCPCS_Cd</w:t>
            </w:r>
          </w:p>
        </w:tc>
        <w:tc>
          <w:tcPr>
            <w:tcW w:type="dxa" w:w="2880"/>
          </w:tcPr>
          <w:p>
            <w:r/>
            <w:r>
              <w:rPr>
                <w:sz w:val="18"/>
              </w:rPr>
              <w:t>The facility and non-facility rows for that HCPCS</w:t>
            </w:r>
          </w:p>
        </w:tc>
      </w:tr>
      <w:tr>
        <w:tc>
          <w:tcPr>
            <w:tcW w:type="dxa" w:w="2880"/>
          </w:tcPr>
          <w:p>
            <w:r/>
            <w:r>
              <w:rPr>
                <w:sz w:val="18"/>
              </w:rPr>
              <w:t>drugs[]</w:t>
            </w:r>
          </w:p>
        </w:tc>
        <w:tc>
          <w:tcPr>
            <w:tcW w:type="dxa" w:w="2880"/>
          </w:tcPr>
          <w:p>
            <w:r/>
            <w:r>
              <w:rPr>
                <w:sz w:val="18"/>
              </w:rPr>
              <w:t>RXCUI</w:t>
            </w:r>
          </w:p>
        </w:tc>
        <w:tc>
          <w:tcPr>
            <w:tcW w:type="dxa" w:w="2880"/>
          </w:tcPr>
          <w:p>
            <w:r/>
            <w:r>
              <w:rPr>
                <w:sz w:val="18"/>
              </w:rPr>
              <w:t>The brand/generic rows resolving to that RXCUI</w:t>
            </w:r>
          </w:p>
        </w:tc>
      </w:tr>
    </w:tbl>
    <w:p>
      <w:pPr>
        <w:spacing w:after="200"/>
      </w:pPr>
      <w:r>
        <w:rPr>
          <w:i/>
          <w:color w:val="555555"/>
          <w:sz w:val="16"/>
        </w:rPr>
        <w:t>Table 3.1 — ProviderMedicare is one document per NPI; its procedures and drugs arrays are the normalized result.</w:t>
      </w:r>
    </w:p>
    <w:p>
      <w:pPr>
        <w:pStyle w:val="Heading2"/>
      </w:pPr>
      <w:r>
        <w:t>3.2 SpecialtyMedicare — keyed by NUCC</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A5F"/>
          </w:tcPr>
          <w:p>
            <w:r/>
            <w:r>
              <w:rPr>
                <w:b/>
                <w:color w:val="FFFFFF"/>
                <w:sz w:val="18"/>
              </w:rPr>
              <w:t>Array</w:t>
            </w:r>
          </w:p>
        </w:tc>
        <w:tc>
          <w:tcPr>
            <w:tcW w:type="dxa" w:w="2880"/>
            <w:shd w:val="clear" w:color="auto" w:fill="1F3A5F"/>
          </w:tcPr>
          <w:p>
            <w:r/>
            <w:r>
              <w:rPr>
                <w:b/>
                <w:color w:val="FFFFFF"/>
                <w:sz w:val="18"/>
              </w:rPr>
              <w:t>Grain (one entry per)</w:t>
            </w:r>
          </w:p>
        </w:tc>
        <w:tc>
          <w:tcPr>
            <w:tcW w:type="dxa" w:w="2880"/>
            <w:shd w:val="clear" w:color="auto" w:fill="1F3A5F"/>
          </w:tcPr>
          <w:p>
            <w:r/>
            <w:r>
              <w:rPr>
                <w:b/>
                <w:color w:val="FFFFFF"/>
                <w:sz w:val="18"/>
              </w:rPr>
              <w:t>Built by rolling up</w:t>
            </w:r>
          </w:p>
        </w:tc>
      </w:tr>
      <w:tr>
        <w:tc>
          <w:tcPr>
            <w:tcW w:type="dxa" w:w="2880"/>
          </w:tcPr>
          <w:p>
            <w:r/>
            <w:r>
              <w:rPr>
                <w:sz w:val="18"/>
              </w:rPr>
              <w:t>procedures[]</w:t>
            </w:r>
          </w:p>
        </w:tc>
        <w:tc>
          <w:tcPr>
            <w:tcW w:type="dxa" w:w="2880"/>
          </w:tcPr>
          <w:p>
            <w:r/>
            <w:r>
              <w:rPr>
                <w:sz w:val="18"/>
              </w:rPr>
              <w:t>(HCPCS, NUCC)</w:t>
            </w:r>
          </w:p>
        </w:tc>
        <w:tc>
          <w:tcPr>
            <w:tcW w:type="dxa" w:w="2880"/>
          </w:tcPr>
          <w:p>
            <w:r/>
            <w:r>
              <w:rPr>
                <w:sz w:val="18"/>
              </w:rPr>
              <w:t>ProviderMedicare procedures across providers of the NUCC</w:t>
            </w:r>
          </w:p>
        </w:tc>
      </w:tr>
      <w:tr>
        <w:tc>
          <w:tcPr>
            <w:tcW w:type="dxa" w:w="2880"/>
          </w:tcPr>
          <w:p>
            <w:r/>
            <w:r>
              <w:rPr>
                <w:sz w:val="18"/>
              </w:rPr>
              <w:t>drugs[]</w:t>
            </w:r>
          </w:p>
        </w:tc>
        <w:tc>
          <w:tcPr>
            <w:tcW w:type="dxa" w:w="2880"/>
          </w:tcPr>
          <w:p>
            <w:r/>
            <w:r>
              <w:rPr>
                <w:sz w:val="18"/>
              </w:rPr>
              <w:t>(RXCUI, NUCC)</w:t>
            </w:r>
          </w:p>
        </w:tc>
        <w:tc>
          <w:tcPr>
            <w:tcW w:type="dxa" w:w="2880"/>
          </w:tcPr>
          <w:p>
            <w:r/>
            <w:r>
              <w:rPr>
                <w:sz w:val="18"/>
              </w:rPr>
              <w:t>ProviderMedicare drugs across providers of the NUCC</w:t>
            </w:r>
          </w:p>
        </w:tc>
      </w:tr>
    </w:tbl>
    <w:p>
      <w:pPr>
        <w:spacing w:after="200"/>
      </w:pPr>
      <w:r>
        <w:rPr>
          <w:i/>
          <w:color w:val="555555"/>
          <w:sz w:val="16"/>
        </w:rPr>
        <w:t>Table 3.2 — SpecialtyMedicare is one document per NUCC specialty code; a provider counts under every NUCC it carries in any taxonomy slot.</w:t>
      </w:r>
    </w:p>
    <w:p>
      <w:pPr>
        <w:pStyle w:val="Heading1"/>
      </w:pPr>
      <w:r>
        <w:t>4. Normalization and Aggregation Rules</w:t>
      </w:r>
    </w:p>
    <w:p>
      <w:pPr>
        <w:spacing w:after="160"/>
      </w:pPr>
      <w:r>
        <w:t>Normalization is expressed as pure functions over row data: the input is a list of raw CMS row dicts for one NPI, and the output is the grained procedures and drugs arrays for that NPI. Holding the logic as pure functions keeps the aggregation testable in memory with fake rows and independent of any database.</w:t>
      </w:r>
    </w:p>
    <w:p>
      <w:pPr>
        <w:pStyle w:val="Heading2"/>
      </w:pPr>
      <w:r>
        <w:t>4.1 Collapsing procedures (place of service → HCPCS)</w:t>
      </w:r>
    </w:p>
    <w:p>
      <w:pPr>
        <w:spacing w:after="160"/>
      </w:pPr>
      <w:r>
        <w:t>The facility (F) and non-facility (O) rows for one provider-and-HCPCS pair collapse into a single procedures[] entry:</w:t>
      </w:r>
    </w:p>
    <w:p>
      <w:pPr>
        <w:pStyle w:val="ListBullet"/>
        <w:spacing w:after="40"/>
      </w:pPr>
      <w:r>
        <w:t>Tot_Srvcs and Tot_Benes are summed across the two rows.</w:t>
      </w:r>
    </w:p>
    <w:p>
      <w:pPr>
        <w:pStyle w:val="ListBullet"/>
        <w:spacing w:after="40"/>
      </w:pPr>
      <w:r>
        <w:t>The dollar amounts Avg_Sbmtd_Chrg, Avg_Mdcr_Alowd_Amt and Avg_Mdcr_Pymt_Amt are carried separately for facility and non-facility, not averaged together. The two place-of-service fee schedules are genuinely different amounts; averaging them would lose information, whereas carrying both is lossless.</w:t>
      </w:r>
    </w:p>
    <w:p>
      <w:pPr>
        <w:pStyle w:val="ListBullet"/>
        <w:spacing w:after="40"/>
      </w:pPr>
      <w:r>
        <w:t>HCPCS_Desc is carried onto the collapsed entry as the procedure's descriptor.</w:t>
      </w:r>
    </w:p>
    <w:p>
      <w:pPr>
        <w:pStyle w:val="Heading2"/>
      </w:pPr>
      <w:r>
        <w:t>4.2 Collapsing drugs (brand/generic → RXCUI)</w:t>
      </w:r>
    </w:p>
    <w:p>
      <w:pPr>
        <w:spacing w:after="160"/>
      </w:pPr>
      <w:r>
        <w:t>The many brand-and-generic rows that resolve to one RXCUI collapse into a single drugs[] entry, with Tot_Clms, Tot_Day_Suply, Tot_Benes and Tot_Drug_Cst summed across those rows.</w:t>
      </w:r>
    </w:p>
    <w:p>
      <w:pPr>
        <w:pStyle w:val="Heading2"/>
      </w:pPr>
      <w:r>
        <w:t>4.3 Where RXCUI re-graining happens</w:t>
      </w:r>
    </w:p>
    <w:p>
      <w:pPr>
        <w:spacing w:after="160"/>
      </w:pPr>
      <w:r>
        <w:t>The base build collects drug rows raw — one staged drug row per brand/generic pair, carrying the measures above and leaving rxcui, molecule and parent_indications unresolved. The existing enrich pass, which already resolves RXCUI and molecule from the FDA / RxNorm resolution collection, is where drugs are re-grained to (NPI, RXCUI) and the per-RXCUI measures are summed. This keeps RXCUI resolution in the single place it already lives and introduces no second resolver in the base build.</w:t>
      </w:r>
    </w:p>
    <w:p>
      <w:pPr>
        <w:pStyle w:val="Heading2"/>
      </w:pPr>
      <w:r>
        <w:t>4.4 Field mapping — source to ProviderMedicare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A5F"/>
          </w:tcPr>
          <w:p>
            <w:r/>
            <w:r>
              <w:rPr>
                <w:b/>
                <w:color w:val="FFFFFF"/>
                <w:sz w:val="18"/>
              </w:rPr>
              <w:t>Target field</w:t>
            </w:r>
          </w:p>
        </w:tc>
        <w:tc>
          <w:tcPr>
            <w:tcW w:type="dxa" w:w="2880"/>
            <w:shd w:val="clear" w:color="auto" w:fill="1F3A5F"/>
          </w:tcPr>
          <w:p>
            <w:r/>
            <w:r>
              <w:rPr>
                <w:b/>
                <w:color w:val="FFFFFF"/>
                <w:sz w:val="18"/>
              </w:rPr>
              <w:t>Source</w:t>
            </w:r>
          </w:p>
        </w:tc>
        <w:tc>
          <w:tcPr>
            <w:tcW w:type="dxa" w:w="2880"/>
            <w:shd w:val="clear" w:color="auto" w:fill="1F3A5F"/>
          </w:tcPr>
          <w:p>
            <w:r/>
            <w:r>
              <w:rPr>
                <w:b/>
                <w:color w:val="FFFFFF"/>
                <w:sz w:val="18"/>
              </w:rPr>
              <w:t>Rule</w:t>
            </w:r>
          </w:p>
        </w:tc>
      </w:tr>
      <w:tr>
        <w:tc>
          <w:tcPr>
            <w:tcW w:type="dxa" w:w="2880"/>
          </w:tcPr>
          <w:p>
            <w:r/>
            <w:r>
              <w:rPr>
                <w:sz w:val="18"/>
              </w:rPr>
              <w:t>procedures[].hcpcs</w:t>
            </w:r>
          </w:p>
        </w:tc>
        <w:tc>
          <w:tcPr>
            <w:tcW w:type="dxa" w:w="2880"/>
          </w:tcPr>
          <w:p>
            <w:r/>
            <w:r>
              <w:rPr>
                <w:sz w:val="18"/>
              </w:rPr>
              <w:t>HCPCS_Cd</w:t>
            </w:r>
          </w:p>
        </w:tc>
        <w:tc>
          <w:tcPr>
            <w:tcW w:type="dxa" w:w="2880"/>
          </w:tcPr>
          <w:p>
            <w:r/>
            <w:r>
              <w:rPr>
                <w:sz w:val="18"/>
              </w:rPr>
              <w:t>Grain key</w:t>
            </w:r>
          </w:p>
        </w:tc>
      </w:tr>
      <w:tr>
        <w:tc>
          <w:tcPr>
            <w:tcW w:type="dxa" w:w="2880"/>
          </w:tcPr>
          <w:p>
            <w:r/>
            <w:r>
              <w:rPr>
                <w:sz w:val="18"/>
              </w:rPr>
              <w:t>procedures[].descriptor</w:t>
            </w:r>
          </w:p>
        </w:tc>
        <w:tc>
          <w:tcPr>
            <w:tcW w:type="dxa" w:w="2880"/>
          </w:tcPr>
          <w:p>
            <w:r/>
            <w:r>
              <w:rPr>
                <w:sz w:val="18"/>
              </w:rPr>
              <w:t>HCPCS_Desc</w:t>
            </w:r>
          </w:p>
        </w:tc>
        <w:tc>
          <w:tcPr>
            <w:tcW w:type="dxa" w:w="2880"/>
          </w:tcPr>
          <w:p>
            <w:r/>
            <w:r>
              <w:rPr>
                <w:sz w:val="18"/>
              </w:rPr>
              <w:t>Carried as-is</w:t>
            </w:r>
          </w:p>
        </w:tc>
      </w:tr>
      <w:tr>
        <w:tc>
          <w:tcPr>
            <w:tcW w:type="dxa" w:w="2880"/>
          </w:tcPr>
          <w:p>
            <w:r/>
            <w:r>
              <w:rPr>
                <w:sz w:val="18"/>
              </w:rPr>
              <w:t>procedures[].service_count</w:t>
            </w:r>
          </w:p>
        </w:tc>
        <w:tc>
          <w:tcPr>
            <w:tcW w:type="dxa" w:w="2880"/>
          </w:tcPr>
          <w:p>
            <w:r/>
            <w:r>
              <w:rPr>
                <w:sz w:val="18"/>
              </w:rPr>
              <w:t>Tot_Srvcs</w:t>
            </w:r>
          </w:p>
        </w:tc>
        <w:tc>
          <w:tcPr>
            <w:tcW w:type="dxa" w:w="2880"/>
          </w:tcPr>
          <w:p>
            <w:r/>
            <w:r>
              <w:rPr>
                <w:sz w:val="18"/>
              </w:rPr>
              <w:t>Sum over place of service</w:t>
            </w:r>
          </w:p>
        </w:tc>
      </w:tr>
      <w:tr>
        <w:tc>
          <w:tcPr>
            <w:tcW w:type="dxa" w:w="2880"/>
          </w:tcPr>
          <w:p>
            <w:r/>
            <w:r>
              <w:rPr>
                <w:sz w:val="18"/>
              </w:rPr>
              <w:t>procedures[].beneficiary_count</w:t>
            </w:r>
          </w:p>
        </w:tc>
        <w:tc>
          <w:tcPr>
            <w:tcW w:type="dxa" w:w="2880"/>
          </w:tcPr>
          <w:p>
            <w:r/>
            <w:r>
              <w:rPr>
                <w:sz w:val="18"/>
              </w:rPr>
              <w:t>Tot_Benes (Part B)</w:t>
            </w:r>
          </w:p>
        </w:tc>
        <w:tc>
          <w:tcPr>
            <w:tcW w:type="dxa" w:w="2880"/>
          </w:tcPr>
          <w:p>
            <w:r/>
            <w:r>
              <w:rPr>
                <w:sz w:val="18"/>
              </w:rPr>
              <w:t>Sum over place of service</w:t>
            </w:r>
          </w:p>
        </w:tc>
      </w:tr>
      <w:tr>
        <w:tc>
          <w:tcPr>
            <w:tcW w:type="dxa" w:w="2880"/>
          </w:tcPr>
          <w:p>
            <w:r/>
            <w:r>
              <w:rPr>
                <w:sz w:val="18"/>
              </w:rPr>
              <w:t>procedures[] facility/non-facility amounts</w:t>
            </w:r>
          </w:p>
        </w:tc>
        <w:tc>
          <w:tcPr>
            <w:tcW w:type="dxa" w:w="2880"/>
          </w:tcPr>
          <w:p>
            <w:r/>
            <w:r>
              <w:rPr>
                <w:sz w:val="18"/>
              </w:rPr>
              <w:t>Avg_Sbmtd_Chrg, Avg_Mdcr_Alowd_Amt, Avg_Mdcr_Pymt_Amt</w:t>
            </w:r>
          </w:p>
        </w:tc>
        <w:tc>
          <w:tcPr>
            <w:tcW w:type="dxa" w:w="2880"/>
          </w:tcPr>
          <w:p>
            <w:r/>
            <w:r>
              <w:rPr>
                <w:sz w:val="18"/>
              </w:rPr>
              <w:t>Carried separately per place of service</w:t>
            </w:r>
          </w:p>
        </w:tc>
      </w:tr>
      <w:tr>
        <w:tc>
          <w:tcPr>
            <w:tcW w:type="dxa" w:w="2880"/>
          </w:tcPr>
          <w:p>
            <w:r/>
            <w:r>
              <w:rPr>
                <w:sz w:val="18"/>
              </w:rPr>
              <w:t>drugs[].rxcui</w:t>
            </w:r>
          </w:p>
        </w:tc>
        <w:tc>
          <w:tcPr>
            <w:tcW w:type="dxa" w:w="2880"/>
          </w:tcPr>
          <w:p>
            <w:r/>
            <w:r>
              <w:rPr>
                <w:sz w:val="18"/>
              </w:rPr>
              <w:t>resolved from Brnd_Name/Gnrc_Name</w:t>
            </w:r>
          </w:p>
        </w:tc>
        <w:tc>
          <w:tcPr>
            <w:tcW w:type="dxa" w:w="2880"/>
          </w:tcPr>
          <w:p>
            <w:r/>
            <w:r>
              <w:rPr>
                <w:sz w:val="18"/>
              </w:rPr>
              <w:t>Resolved in enrich pass</w:t>
            </w:r>
          </w:p>
        </w:tc>
      </w:tr>
      <w:tr>
        <w:tc>
          <w:tcPr>
            <w:tcW w:type="dxa" w:w="2880"/>
          </w:tcPr>
          <w:p>
            <w:r/>
            <w:r>
              <w:rPr>
                <w:sz w:val="18"/>
              </w:rPr>
              <w:t>drugs[].total_claims</w:t>
            </w:r>
          </w:p>
        </w:tc>
        <w:tc>
          <w:tcPr>
            <w:tcW w:type="dxa" w:w="2880"/>
          </w:tcPr>
          <w:p>
            <w:r/>
            <w:r>
              <w:rPr>
                <w:sz w:val="18"/>
              </w:rPr>
              <w:t>Tot_Clms</w:t>
            </w:r>
          </w:p>
        </w:tc>
        <w:tc>
          <w:tcPr>
            <w:tcW w:type="dxa" w:w="2880"/>
          </w:tcPr>
          <w:p>
            <w:r/>
            <w:r>
              <w:rPr>
                <w:sz w:val="18"/>
              </w:rPr>
              <w:t>Sum over RXCUI</w:t>
            </w:r>
          </w:p>
        </w:tc>
      </w:tr>
      <w:tr>
        <w:tc>
          <w:tcPr>
            <w:tcW w:type="dxa" w:w="2880"/>
          </w:tcPr>
          <w:p>
            <w:r/>
            <w:r>
              <w:rPr>
                <w:sz w:val="18"/>
              </w:rPr>
              <w:t>drugs[].days_supply</w:t>
            </w:r>
          </w:p>
        </w:tc>
        <w:tc>
          <w:tcPr>
            <w:tcW w:type="dxa" w:w="2880"/>
          </w:tcPr>
          <w:p>
            <w:r/>
            <w:r>
              <w:rPr>
                <w:sz w:val="18"/>
              </w:rPr>
              <w:t>Tot_Day_Suply</w:t>
            </w:r>
          </w:p>
        </w:tc>
        <w:tc>
          <w:tcPr>
            <w:tcW w:type="dxa" w:w="2880"/>
          </w:tcPr>
          <w:p>
            <w:r/>
            <w:r>
              <w:rPr>
                <w:sz w:val="18"/>
              </w:rPr>
              <w:t>Sum over RXCUI</w:t>
            </w:r>
          </w:p>
        </w:tc>
      </w:tr>
      <w:tr>
        <w:tc>
          <w:tcPr>
            <w:tcW w:type="dxa" w:w="2880"/>
          </w:tcPr>
          <w:p>
            <w:r/>
            <w:r>
              <w:rPr>
                <w:sz w:val="18"/>
              </w:rPr>
              <w:t>drugs[].beneficiary_count</w:t>
            </w:r>
          </w:p>
        </w:tc>
        <w:tc>
          <w:tcPr>
            <w:tcW w:type="dxa" w:w="2880"/>
          </w:tcPr>
          <w:p>
            <w:r/>
            <w:r>
              <w:rPr>
                <w:sz w:val="18"/>
              </w:rPr>
              <w:t>Tot_Benes (Part D)</w:t>
            </w:r>
          </w:p>
        </w:tc>
        <w:tc>
          <w:tcPr>
            <w:tcW w:type="dxa" w:w="2880"/>
          </w:tcPr>
          <w:p>
            <w:r/>
            <w:r>
              <w:rPr>
                <w:sz w:val="18"/>
              </w:rPr>
              <w:t>Sum over RXCUI</w:t>
            </w:r>
          </w:p>
        </w:tc>
      </w:tr>
      <w:tr>
        <w:tc>
          <w:tcPr>
            <w:tcW w:type="dxa" w:w="2880"/>
          </w:tcPr>
          <w:p>
            <w:r/>
            <w:r>
              <w:rPr>
                <w:sz w:val="18"/>
              </w:rPr>
              <w:t>drugs[].total_drug_cost</w:t>
            </w:r>
          </w:p>
        </w:tc>
        <w:tc>
          <w:tcPr>
            <w:tcW w:type="dxa" w:w="2880"/>
          </w:tcPr>
          <w:p>
            <w:r/>
            <w:r>
              <w:rPr>
                <w:sz w:val="18"/>
              </w:rPr>
              <w:t>Tot_Drug_Cst</w:t>
            </w:r>
          </w:p>
        </w:tc>
        <w:tc>
          <w:tcPr>
            <w:tcW w:type="dxa" w:w="2880"/>
          </w:tcPr>
          <w:p>
            <w:r/>
            <w:r>
              <w:rPr>
                <w:sz w:val="18"/>
              </w:rPr>
              <w:t>Sum over RXCUI</w:t>
            </w:r>
          </w:p>
        </w:tc>
      </w:tr>
    </w:tbl>
    <w:p>
      <w:pPr>
        <w:spacing w:after="200"/>
      </w:pPr>
      <w:r>
        <w:rPr>
          <w:i/>
          <w:color w:val="555555"/>
          <w:sz w:val="16"/>
        </w:rPr>
        <w:t>Table 4.4 — ProviderMedicare field mapping.</w:t>
      </w:r>
    </w:p>
    <w:p>
      <w:pPr>
        <w:pStyle w:val="Heading1"/>
      </w:pPr>
      <w:r>
        <w:t>5. The Join-by-NPI Rule</w:t>
      </w:r>
    </w:p>
    <w:p>
      <w:pPr>
        <w:spacing w:after="160"/>
      </w:pPr>
      <w:r>
        <w:t>The Provider collection is keyed by NPI. Part B and Part D rows attach to a provider record by NPI directly. State is permitted only as a fan-out / parallelism dimension and is never the join key.</w:t>
      </w:r>
    </w:p>
    <w:p>
      <w:pPr>
        <w:spacing w:after="160"/>
      </w:pPr>
      <w:r>
        <w:t>This replaces the superseded behavior in which the build filtered Part B and Part D by the CMS state column and iterated the Provider spine by business-mailing-address state, matching on NPI only within the same state bucket. Those are two different definitions of state — the CMS column is the NPPES-located state, while the Provider spine partitions by mailing-address state — so for any NPI whose CMS state differed from its mailing state, two defects resulted at once: its procedures and drugs never attached (the record came out empty), and it was falsely counted as not found in the Provider collection. Joining on NPI directly removes both defects.</w:t>
      </w:r>
    </w:p>
    <w:p>
      <w:pPr>
        <w:spacing w:after="160"/>
      </w:pPr>
      <w:r>
        <w:t>The provider source is named explicitly for the run as a fully-qualified cluster.db.collection argument (providerCollection), validated at the start of the run, because the built collections version independently of the Provider collection they join against.</w:t>
      </w:r>
    </w:p>
    <w:p>
      <w:pPr>
        <w:pStyle w:val="Heading1"/>
      </w:pPr>
      <w:r>
        <w:t>6. Findings</w:t>
      </w:r>
    </w:p>
    <w:p>
      <w:pPr>
        <w:pStyle w:val="Heading2"/>
      </w:pPr>
      <w:r>
        <w:t>6.1 NPI not found in Providers — de-duped per NPI</w:t>
      </w:r>
    </w:p>
    <w:p>
      <w:pPr>
        <w:spacing w:after="160"/>
      </w:pPr>
      <w:r>
        <w:t>A billed or prescribing NPI absent from the Provider collection is one finding, counted once per distinct NPI regardless of how many drugs, procedures or source rows that NPI spans. The build computes the distinct set of billed and prescribing NPIs — the union across Part B and Part D — subtracts those present in the Provider collection, and records one finding per remaining NPI, with the finding's record_key set to that NPI. The finding class is FDA_NPI_not_found_In_Providers. Because it is a ProviderMedicare finding, it is rendered under the ProviderMedicare section of the discrepancy report.</w:t>
      </w:r>
    </w:p>
    <w:p>
      <w:pPr>
        <w:spacing w:after="160"/>
      </w:pPr>
      <w:r>
        <w:t>This replaces the superseded per-state finding, which recorded one aggregate count per state and double-counted an NPI across every row it appeared on.</w:t>
      </w:r>
    </w:p>
    <w:p>
      <w:pPr>
        <w:pStyle w:val="Heading2"/>
      </w:pPr>
      <w:r>
        <w:t>6.2 All other attribute failures — collapsed</w:t>
      </w:r>
    </w:p>
    <w:p>
      <w:pPr>
        <w:spacing w:after="160"/>
      </w:pPr>
      <w:r>
        <w:t>The two remaining drug-attribute problems — an incomplete FDA record and a molecule derived by generic-name fallback — collapse into one catch-all class, FDA_all_other_Attribute_failures, rather than two separate classes.</w:t>
      </w:r>
    </w:p>
    <w:p>
      <w:pPr>
        <w:pStyle w:val="Heading2"/>
      </w:pPr>
      <w:r>
        <w:t>6.3 Finding configuration (persistent, never hard-coded)</w:t>
      </w:r>
    </w:p>
    <w:p>
      <w:pPr>
        <w:spacing w:after="160"/>
      </w:pPr>
      <w:r>
        <w:t>The two classes and their limits live in the pipeline's persistent configuration (pipeline_config.json), scoped to this pipeline and unique to it. On the first run both classes default to the values below. The limits are per error 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A5F"/>
          </w:tcPr>
          <w:p>
            <w:r/>
            <w:r>
              <w:rPr>
                <w:b/>
                <w:color w:val="FFFFFF"/>
                <w:sz w:val="18"/>
              </w:rPr>
              <w:t>Finding class</w:t>
            </w:r>
          </w:p>
        </w:tc>
        <w:tc>
          <w:tcPr>
            <w:tcW w:type="dxa" w:w="2160"/>
            <w:shd w:val="clear" w:color="auto" w:fill="1F3A5F"/>
          </w:tcPr>
          <w:p>
            <w:r/>
            <w:r>
              <w:rPr>
                <w:b/>
                <w:color w:val="FFFFFF"/>
                <w:sz w:val="18"/>
              </w:rPr>
              <w:t>severity</w:t>
            </w:r>
          </w:p>
        </w:tc>
        <w:tc>
          <w:tcPr>
            <w:tcW w:type="dxa" w:w="2160"/>
            <w:shd w:val="clear" w:color="auto" w:fill="1F3A5F"/>
          </w:tcPr>
          <w:p>
            <w:r/>
            <w:r>
              <w:rPr>
                <w:b/>
                <w:color w:val="FFFFFF"/>
                <w:sz w:val="18"/>
              </w:rPr>
              <w:t>fatal_at_count</w:t>
            </w:r>
          </w:p>
        </w:tc>
        <w:tc>
          <w:tcPr>
            <w:tcW w:type="dxa" w:w="2160"/>
            <w:shd w:val="clear" w:color="auto" w:fill="1F3A5F"/>
          </w:tcPr>
          <w:p>
            <w:r/>
            <w:r>
              <w:rPr>
                <w:b/>
                <w:color w:val="FFFFFF"/>
                <w:sz w:val="18"/>
              </w:rPr>
              <w:t>report_display_cap</w:t>
            </w:r>
          </w:p>
        </w:tc>
      </w:tr>
      <w:tr>
        <w:tc>
          <w:tcPr>
            <w:tcW w:type="dxa" w:w="2160"/>
          </w:tcPr>
          <w:p>
            <w:r/>
            <w:r>
              <w:rPr>
                <w:sz w:val="18"/>
              </w:rPr>
              <w:t>FDA_NPI_not_found_In_Providers</w:t>
            </w:r>
          </w:p>
        </w:tc>
        <w:tc>
          <w:tcPr>
            <w:tcW w:type="dxa" w:w="2160"/>
          </w:tcPr>
          <w:p>
            <w:r/>
            <w:r>
              <w:rPr>
                <w:sz w:val="18"/>
              </w:rPr>
              <w:t>error</w:t>
            </w:r>
          </w:p>
        </w:tc>
        <w:tc>
          <w:tcPr>
            <w:tcW w:type="dxa" w:w="2160"/>
          </w:tcPr>
          <w:p>
            <w:r/>
            <w:r>
              <w:rPr>
                <w:sz w:val="18"/>
              </w:rPr>
              <w:t>1,200,000</w:t>
            </w:r>
          </w:p>
        </w:tc>
        <w:tc>
          <w:tcPr>
            <w:tcW w:type="dxa" w:w="2160"/>
          </w:tcPr>
          <w:p>
            <w:r/>
            <w:r>
              <w:rPr>
                <w:sz w:val="18"/>
              </w:rPr>
              <w:t>25</w:t>
            </w:r>
          </w:p>
        </w:tc>
      </w:tr>
      <w:tr>
        <w:tc>
          <w:tcPr>
            <w:tcW w:type="dxa" w:w="2160"/>
          </w:tcPr>
          <w:p>
            <w:r/>
            <w:r>
              <w:rPr>
                <w:sz w:val="18"/>
              </w:rPr>
              <w:t>FDA_all_other_Attribute_failures</w:t>
            </w:r>
          </w:p>
        </w:tc>
        <w:tc>
          <w:tcPr>
            <w:tcW w:type="dxa" w:w="2160"/>
          </w:tcPr>
          <w:p>
            <w:r/>
            <w:r>
              <w:rPr>
                <w:sz w:val="18"/>
              </w:rPr>
              <w:t>error</w:t>
            </w:r>
          </w:p>
        </w:tc>
        <w:tc>
          <w:tcPr>
            <w:tcW w:type="dxa" w:w="2160"/>
          </w:tcPr>
          <w:p>
            <w:r/>
            <w:r>
              <w:rPr>
                <w:sz w:val="18"/>
              </w:rPr>
              <w:t>1,200,000</w:t>
            </w:r>
          </w:p>
        </w:tc>
        <w:tc>
          <w:tcPr>
            <w:tcW w:type="dxa" w:w="2160"/>
          </w:tcPr>
          <w:p>
            <w:r/>
            <w:r>
              <w:rPr>
                <w:sz w:val="18"/>
              </w:rPr>
              <w:t>25</w:t>
            </w:r>
          </w:p>
        </w:tc>
      </w:tr>
    </w:tbl>
    <w:p>
      <w:pPr>
        <w:spacing w:after="200"/>
      </w:pPr>
      <w:r>
        <w:rPr>
          <w:i/>
          <w:color w:val="555555"/>
          <w:sz w:val="16"/>
        </w:rPr>
        <w:t>Table 6.3 — First-run defaults. fatal_at_count aborts the run when the running count for a class reaches it; report_display_cap bounds how many individual findings of a class the report enumerates before summarizing.</w:t>
      </w:r>
    </w:p>
    <w:p>
      <w:pPr>
        <w:pStyle w:val="Heading1"/>
      </w:pPr>
      <w:r>
        <w:t>7. Engineering Decisions Flagged for Review</w:t>
      </w:r>
    </w:p>
    <w:p>
      <w:pPr>
        <w:spacing w:after="160"/>
      </w:pPr>
      <w:r>
        <w:t>The following are defensible engineering calls rather than externally specified requirements, recorded here so they can be reviewed and, if desired, changed.</w:t>
      </w:r>
    </w:p>
    <w:p>
      <w:pPr>
        <w:pStyle w:val="ListBullet"/>
        <w:spacing w:after="40"/>
      </w:pPr>
      <w:r>
        <w:t>Procedure measures: SUM Tot_Srvcs and Tot_Benes across the two place-of-service rows; carry the facility and non-facility dollar amounts separately rather than averaging them.</w:t>
      </w:r>
    </w:p>
    <w:p>
      <w:pPr>
        <w:pStyle w:val="ListBullet"/>
        <w:spacing w:after="40"/>
      </w:pPr>
      <w:r>
        <w:t>Drug measures: SUM Tot_Clms, Tot_Day_Suply, Tot_Benes and Tot_Drug_Cst across the brand/generic rows that resolve to one RXCUI.</w:t>
      </w:r>
    </w:p>
    <w:p>
      <w:pPr>
        <w:pStyle w:val="ListBullet"/>
        <w:spacing w:after="40"/>
      </w:pPr>
      <w:r>
        <w:t>RXCUI ordering: the base build collects drug rows raw; the existing enrich pass is where drugs are re-grained to (NPI, RXCUI), keeping RXCUI resolution where it already lives.</w:t>
      </w:r>
    </w:p>
    <w:p>
      <w:pPr>
        <w:pStyle w:val="ListBullet"/>
        <w:spacing w:after="40"/>
      </w:pPr>
      <w:r>
        <w:t>Report placement: the NPI-not-found finding is rendered under the ProviderMedicare section of the discrepancy report, under the class name FDA_NPI_not_found_In_Providers.</w:t>
      </w:r>
    </w:p>
    <w:p>
      <w:pPr>
        <w:pStyle w:val="Heading1"/>
      </w:pPr>
      <w:r>
        <w:t>8. Unit Testing Approach</w:t>
      </w:r>
    </w:p>
    <w:p>
      <w:pPr>
        <w:spacing w:after="160"/>
      </w:pPr>
      <w:r>
        <w:t>The normalization and aggregation logic is structured as pure functions over row data — input: lists of raw CMS row dicts; output: grained records — and unit-tested in memory with sufficient fake CMS rows. MongoDB is never mocked; there is no mongomock and there are no database stubs. No database participates in the unit tests.</w:t>
      </w:r>
    </w:p>
    <w:p>
      <w:pPr>
        <w:spacing w:after="160"/>
      </w:pPr>
      <w:r>
        <w:t>The tests prove the following properties:</w:t>
      </w:r>
    </w:p>
    <w:p>
      <w:pPr>
        <w:pStyle w:val="ListBullet"/>
        <w:spacing w:after="40"/>
      </w:pPr>
      <w:r>
        <w:t>Place-of-service collapse: facility and non-facility rows for one HCPCS produce exactly one procedures[] entry per (HCPCS, NPI), with service and beneficiary counts summed and both fee-schedule amounts carried.</w:t>
      </w:r>
    </w:p>
    <w:p>
      <w:pPr>
        <w:pStyle w:val="ListBullet"/>
        <w:spacing w:after="40"/>
      </w:pPr>
      <w:r>
        <w:t>Brand/generic collapse: many brand/generic rows resolving to one RXCUI produce exactly one drugs[] entry per (RXCUI, NPI), with measures summed.</w:t>
      </w:r>
    </w:p>
    <w:p>
      <w:pPr>
        <w:pStyle w:val="ListBullet"/>
        <w:spacing w:after="40"/>
      </w:pPr>
      <w:r>
        <w:t>Distinct-NPI de-dup: one NPI appearing across many rows yields exactly one not-found finding.</w:t>
      </w:r>
    </w:p>
    <w:p>
      <w:pPr>
        <w:pStyle w:val="ListBullet"/>
        <w:spacing w:after="40"/>
      </w:pPr>
      <w:r>
        <w:t>Specialty rollup: the (HCPCS, NUCC) and (RXCUI, NUCC) grains are produced correctly across providers of a specialty.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