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Provider Pipeline Code Audit</w:t>
      </w:r>
    </w:p>
    <w:p>
      <w:r>
        <w:t>Audit baseline: ProviderPipeline_LowLevelDesign_v41.docx (latest design document in pipeline/ArchitectureDesignAndAudit).</w:t>
        <w:br/>
        <w:t>Code baseline: committed pipeline code at git commit 6526b213 (2026-07-31), all files under pipeline/.</w:t>
        <w:br/>
        <w:t>Chapter 1 records code behavior that deviates from the design. Chapter 2 records code comments that contradict the design. Chapter 3 records capabilities present in the code that the design does not define; per operator directive each is a bug.</w:t>
      </w:r>
    </w:p>
    <w:p>
      <w:pPr>
        <w:pStyle w:val="Heading1"/>
      </w:pPr>
      <w:r>
        <w:t>Chapter 1 — Code Findings (deviations from the design)</w:t>
      </w:r>
    </w:p>
    <w:p>
      <w:r>
        <w:t>Each finding cites the governing design section and the deviating code.</w:t>
      </w:r>
    </w:p>
    <w:p>
      <w:pPr>
        <w:pStyle w:val="Heading2"/>
      </w:pPr>
      <w:r>
        <w:t>CF-01 — Delete-target-scope step absent</w:t>
      </w:r>
    </w:p>
    <w:p>
      <w:r>
        <w:t>Design §5.2.6 defines a Controller-owned step that deletes the target state scope from providers_v&lt;N&gt; and records the pre-delete and delete counts on the run manifest. No such step exists in provider_pipeline_orchestrator.py; deletion is folded into the per-state normalize workers (provider_normalize_engine.py), and neither count is recorded on the manifest.</w:t>
      </w:r>
    </w:p>
    <w:p>
      <w:pPr>
        <w:pStyle w:val="Heading2"/>
      </w:pPr>
      <w:r>
        <w:t>CF-02 — Incremental load mode not implemented</w:t>
      </w:r>
    </w:p>
    <w:p>
      <w:r>
        <w:t>Design §5.3 defines Incremental mode as a content-identity diff producing unchanged / changed / new / removed sets, preserving enrichments on unchanged records, deleting records absent from source, and running an incremental reconciliation. The code (provider_normalize_engine.py, normalize_npi_per_state_fanout.py) implements Incremental as “skip the staging drain and upsert everything,” which re-processes every record and preserves nothing selectively.</w:t>
      </w:r>
    </w:p>
    <w:p>
      <w:pPr>
        <w:pStyle w:val="Heading2"/>
      </w:pPr>
      <w:r>
        <w:t>CF-03 — content_identity_hash / source_row_hash never computed</w:t>
      </w:r>
    </w:p>
    <w:p>
      <w:r>
        <w:t>Design §5.3.1–§5.3.5 requires a semantic content-identity hash on every provider record, §7.1 requires source_row_hash on every provider record, and §7.5 requires source_row_hash on every staged NPPES row. provider_record_builder.py, provider_normalize_engine.py, and staging_loader.py compute and stamp neither hash. The record-level reuse mechanism of §6.4 has no substrate in the code.</w:t>
      </w:r>
    </w:p>
    <w:p>
      <w:pPr>
        <w:pStyle w:val="Heading2"/>
      </w:pPr>
      <w:r>
        <w:t>CF-04 — Skip-if-done mechanism absent</w:t>
      </w:r>
    </w:p>
    <w:p>
      <w:r>
        <w:t>Design §5.1 (guarantee 4), §6.4, and §7.3 define skip-if-done semantics backed by the pipeline.step_completion_markers collection. No code writes or reads that collection. StepSpec (step_spec.py) lacks the completion_marker_key and timeout_seconds fields required by the §5.1 STEPS contract.</w:t>
      </w:r>
    </w:p>
    <w:p>
      <w:pPr>
        <w:pStyle w:val="Heading2"/>
      </w:pPr>
      <w:r>
        <w:t>CF-05 — Failure-threshold abort absent</w:t>
      </w:r>
    </w:p>
    <w:p>
      <w:r>
        <w:t>Design §5.1 (guarantee 3) requires the run to abort when bad-data counts exceed pipeline.config.failure_thresholds. No code in the orchestration path references failure_thresholds or aborts on a bad-data count.</w:t>
      </w:r>
    </w:p>
    <w:p>
      <w:pPr>
        <w:pStyle w:val="Heading2"/>
      </w:pPr>
      <w:r>
        <w:t>CF-06 — Parallelism model deviates</w:t>
      </w:r>
    </w:p>
    <w:p>
      <w:r>
        <w:t>Design §5.1 defines parallelism_spec ∈ {single, per_source, per_state, per_state_x_entity}; §4.3.3 and §5.2.11–§5.2.12 require state × entity-type fan-out with Type-1 and Type-2 first branches running concurrently. The code uses parallelism values serial / gather / process_pool, has no state × entity-type fan-out anywhere, and runs the Type-1 and Type-2 branches as sequential steps.</w:t>
      </w:r>
    </w:p>
    <w:p>
      <w:pPr>
        <w:pStyle w:val="Heading2"/>
      </w:pPr>
      <w:r>
        <w:t>CF-07 — Controller-owned steps dispatched to Workers</w:t>
      </w:r>
    </w:p>
    <w:p>
      <w:r>
        <w:t>base_pipeline_orchestrator.py routes every step through pipeline.work_items, including steps the design assigns to the Controller directly: the F-105 catalog copy (§5.2.8) and post-load reconciliation (§5.2.18).</w:t>
      </w:r>
    </w:p>
    <w:p>
      <w:pPr>
        <w:pStyle w:val="Heading2"/>
      </w:pPr>
      <w:r>
        <w:t>CF-08 — Stale work-item handling wrong</w:t>
      </w:r>
    </w:p>
    <w:p>
      <w:r>
        <w:t>Design §4.3.4 sets the heartbeat stale threshold at 440 seconds and §6.9 requires the Controller to reset a stale claim to pending so a fresh Worker re-claims it. base_pipeline_orchestrator.py uses a 300-second threshold and marks stale items failed, ending the work instead of retrying it. The Controller poll cadence is 5 seconds where §4.3.2 specifies 15 seconds.</w:t>
      </w:r>
    </w:p>
    <w:p>
      <w:pPr>
        <w:pStyle w:val="Heading2"/>
      </w:pPr>
      <w:r>
        <w:t>CF-09 — Worker concurrency cap read from environment</w:t>
      </w:r>
    </w:p>
    <w:p>
      <w:r>
        <w:t>Design §6.3 places step parallelism caps at pipeline.config.step_parallelism_caps. base_pipeline_orchestrator.py reads the cap from the WORKER_MAX_PARALLEL environment variable.</w:t>
      </w:r>
    </w:p>
    <w:p>
      <w:pPr>
        <w:pStyle w:val="Heading2"/>
      </w:pPr>
      <w:r>
        <w:t>CF-10 — Configuration read from baked-in file, not Mongo</w:t>
      </w:r>
    </w:p>
    <w:p>
      <w:r>
        <w:t>Design §6.3 and §5.2.2 (operation G) require the Controller to read every tunable from chathealthyfrontend.pipeline.config at startup. pipeline_config.py reads a JSON file baked into the image (brain/machine_artifacts/content/pipeline_config.json), and control_runner.py passes an empty config dict to the orchestrator. The pipeline_config.py docstring records a 2026-07-31 operator directive for the file-based read; the design was not updated, so the two are in direct conflict.</w:t>
      </w:r>
    </w:p>
    <w:p>
      <w:pPr>
        <w:pStyle w:val="Heading2"/>
      </w:pPr>
      <w:r>
        <w:t>CF-11 — Invocation contract not enforced</w:t>
      </w:r>
    </w:p>
    <w:p>
      <w:r>
        <w:t>Design §5.2.1 and §7.0 require caller_identity validation against pipeline.authorized_callers (HTTP 401 on unknown), HTTP 400 on missing/malformed required fields, HTTP 409 on run_id collision, and rejection of any start_step outside the four restart points of §6.9. provider_pipeline_runbook.py performs none of these validations, accepts arbitrary resume_from_step values, accepts any state_scope, and requires a data_version field that is not part of the design contract.</w:t>
      </w:r>
    </w:p>
    <w:p>
      <w:pPr>
        <w:pStyle w:val="Heading2"/>
      </w:pPr>
      <w:r>
        <w:t>CF-12 — Run manifest schema deviates</w:t>
      </w:r>
    </w:p>
    <w:p>
      <w:r>
        <w:t>Design §6.2 enumerates the run manifest fields. The RunManifest in step_context.py and the manifest written by provider_pipeline_runbook.py lack invocation_mode, caller_identity, operator_email, operator_sms, source_versions, source_freshness_decisions, incremental_diff, abort_reason and timing fields; the manifest carries aca_job_resource_id, which belongs to the forbidden ACA substrate; and the runbook writes initial status “running” instead of “pending_vm_provision”.</w:t>
      </w:r>
    </w:p>
    <w:p>
      <w:pPr>
        <w:pStyle w:val="Heading2"/>
      </w:pPr>
      <w:r>
        <w:t>CF-13 — Terminal-status vocabulary mismatch</w:t>
      </w:r>
    </w:p>
    <w:p>
      <w:r>
        <w:t>control_runner.py writes terminal status “succeeded”; watchdog_runbook.py treats {success, failed, aborted} as terminal per design §3.1.2. A successful run is therefore never recognized as terminal by the Watchdog. The Controller also never emits “aborted”, which the design and notification samples (§8.1) require.</w:t>
      </w:r>
    </w:p>
    <w:p>
      <w:pPr>
        <w:pStyle w:val="Heading2"/>
      </w:pPr>
      <w:r>
        <w:t>CF-14 — Runbook blocks on Atlas resume</w:t>
      </w:r>
    </w:p>
    <w:p>
      <w:r>
        <w:t>Design §5.1 states the Runbook fires the VM create and the Atlas resume request and “exits without waiting on either.” provider_pipeline_runbook.py polls the Atlas cluster to IDLE before exiting, and issues the resume as PATCH where the design specifies POST.</w:t>
      </w:r>
    </w:p>
    <w:p>
      <w:pPr>
        <w:pStyle w:val="Heading2"/>
      </w:pPr>
      <w:r>
        <w:t>CF-15 — Per-run NIC creation violates permanent networking</w:t>
      </w:r>
    </w:p>
    <w:p>
      <w:r>
        <w:t>Design §4.2 states the pipeline never creates or destroys a network object at run time; only the VM is transient. provider_pipeline_runbook.py creates a NIC per run, and the NIC is not deleted with the VM (the Watchdog compensates with NIC/disk sweeps the design does not describe).</w:t>
      </w:r>
    </w:p>
    <w:p>
      <w:pPr>
        <w:pStyle w:val="Heading2"/>
      </w:pPr>
      <w:r>
        <w:t>CF-16 — Container image tag not pinned to git SHA</w:t>
      </w:r>
    </w:p>
    <w:p>
      <w:r>
        <w:t>Design §4.2 and §4.3.1 require the VM to pull the image tagged with the run’s target git SHA. provider_pipeline_runbook.py defaults VM_IMAGE_TAG to “latest”.</w:t>
      </w:r>
    </w:p>
    <w:p>
      <w:pPr>
        <w:pStyle w:val="Heading2"/>
      </w:pPr>
      <w:r>
        <w:t>CF-17 — VM sizing source and default deviate</w:t>
      </w:r>
    </w:p>
    <w:p>
      <w:r>
        <w:t>Design §3.1.3 and §6.3 set the default VM size to Standard_D32s_v5 with the knob at pipeline.config.vm_sizing. The runbook defaults to Standard_D32s_v6 taken from an environment variable.</w:t>
      </w:r>
    </w:p>
    <w:p>
      <w:pPr>
        <w:pStyle w:val="Heading2"/>
      </w:pPr>
      <w:r>
        <w:t>CF-18 — Automation variables read from os.environ</w:t>
      </w:r>
    </w:p>
    <w:p>
      <w:r>
        <w:t>Design §3.1.1 requires runbooks to read configuration via automationassets.get_automation_variable(name). provider_pipeline_runbook.py reads subscription, resource-group, VM, and environment settings from os.environ with hardcoded fallbacks (including a hardcoded subscription id).</w:t>
      </w:r>
    </w:p>
    <w:p>
      <w:pPr>
        <w:pStyle w:val="Heading2"/>
      </w:pPr>
      <w:r>
        <w:t>CF-19 — CH_LOG_LEVEL defaults to DEBUG</w:t>
      </w:r>
    </w:p>
    <w:p>
      <w:r>
        <w:t>Design §6.6 sets CH_LOG_LEVEL='INFO' as the cloud-init baseline and states DEBUG is never the default. The cloud-init generated by provider_pipeline_runbook.py sets CH_LOG_LEVEL='DEBUG'.</w:t>
      </w:r>
    </w:p>
    <w:p>
      <w:pPr>
        <w:pStyle w:val="Heading2"/>
      </w:pPr>
      <w:r>
        <w:t>CF-20 — Reservation lifecycle deviates</w:t>
      </w:r>
    </w:p>
    <w:p>
      <w:r>
        <w:t>Design §5.2.2 (v33 override) has the Runbook create one reservation with a fixed NOW+10h expiry envelope that the Controller inherits and deletes at quiesce. In code, the Controller heartbeat (control_runner.py) extends expiry_at by 2 hours every 60 seconds, and prepare_infrastructure.py creates a second reservation under a different requester via ClusterLifecycleManager instead of inheriting the Runbook’s row.</w:t>
      </w:r>
    </w:p>
    <w:p>
      <w:pPr>
        <w:pStyle w:val="Heading2"/>
      </w:pPr>
      <w:r>
        <w:t>CF-21 — prepare_infrastructure parallel contract unimplemented</w:t>
      </w:r>
    </w:p>
    <w:p>
      <w:r>
        <w:t>Design §5.2.2 (Table 0) defines six independent operations (KV cert fetch, Atlas resume+poll, reservation insert, config read, tier scale-up, vendor key fetches) that run concurrently after Controller start. steps/prepare_infrastructure.py runs its work sequentially and performs no cluster tier scale-up check.</w:t>
      </w:r>
    </w:p>
    <w:p>
      <w:pPr>
        <w:pStyle w:val="Heading2"/>
      </w:pPr>
      <w:r>
        <w:t>CF-22 — quiesce_infrastructure missing designed duties</w:t>
      </w:r>
    </w:p>
    <w:p>
      <w:r>
        <w:t>Design §5.2.20 requires: Atlas pause request when no live reservations remain, cluster tier scale-back, transient-blob cleanup on success, deletion of the superseded prior archive entry (§5.2.4), and metrics finalization. steps/quiesce_infrastructure.py does none of these; the Atlas pause is left implicitly to the ReservationReaper, and the step instead invokes AcaJobManager.delete_job, a forbidden-substrate operation.</w:t>
      </w:r>
    </w:p>
    <w:p>
      <w:pPr>
        <w:pStyle w:val="Heading2"/>
      </w:pPr>
      <w:r>
        <w:t>CF-23 — Archive retention not enforced</w:t>
      </w:r>
    </w:p>
    <w:p>
      <w:r>
        <w:t>Design §5.2.4 retains the current source file plus the immediately-prior version, with the prior entry deleted at quiesce. The archive implementation retains every version indefinitely. Conversely, source_fetch_engine.py purges the previous run’s transients at fetch time, where the design cleans transients only at quiesce (§5.2.20).</w:t>
      </w:r>
    </w:p>
    <w:p>
      <w:pPr>
        <w:pStyle w:val="Heading2"/>
      </w:pPr>
      <w:r>
        <w:t>CF-24 — Fetch failure modes unhandled</w:t>
      </w:r>
    </w:p>
    <w:p>
      <w:r>
        <w:t>Design §5.2.4 and the failure-injection matrix (§9.5) require 3× retry with backoff on fetch failure, hash-mismatch verification on re-download, and handling of vendor rate-limit (HTTP 429) responses. source_fetch_engine.py implements none of these.</w:t>
      </w:r>
    </w:p>
    <w:p>
      <w:pPr>
        <w:pStyle w:val="Heading2"/>
      </w:pPr>
      <w:r>
        <w:t>CF-25 — Source freshness gate deviates</w:t>
      </w:r>
    </w:p>
    <w:p>
      <w:r>
        <w:t>Design §5.2.3: freshness is decided by comparing the canonical publication hash against the top of the Blob archive, source definitions come from pipeline.config.sources, the LLM prompt template lives at pipeline.config.freshness_gate_prompt, LLM failure falls back to strict URL/HEAD comparison (and action=”fetch” when no signal), and decisions are stashed at pipeline.runs.source_freshness_decisions. The code decides against admin.DataSourceRegistry with URLs from environment variables, hardcodes the LLM prompt (source_url_discovery.py), fails loud on LLM failure with no fallback, and records decisions under manifest.metrics.</w:t>
      </w:r>
    </w:p>
    <w:p>
      <w:pPr>
        <w:pStyle w:val="Heading2"/>
      </w:pPr>
      <w:r>
        <w:t>CF-26 — F-105 catalog path deviates</w:t>
      </w:r>
    </w:p>
    <w:p>
      <w:r>
        <w:t>Design §5.2.8 and §7.4: the Controller copies ProprietaryData.SpecialtyAndProviderFlags (pipeline cluster) into pipeline_sources_specialty_catalog (front-end cluster). The code instead fetches the catalog over HTTPS from the ChatHealthy website through a Cloudflare-gated URL (specialty_classification_catalog.py, SPECIALTY_CLASSIFICATION_CATALOG_URL), and maintains two divergent catalog paths: a staged file load and an in-memory load_catalog() used at enrichment time.</w:t>
      </w:r>
    </w:p>
    <w:p>
      <w:pPr>
        <w:pStyle w:val="Heading2"/>
      </w:pPr>
      <w:r>
        <w:t>CF-27 — Staging implementation deviates</w:t>
      </w:r>
    </w:p>
    <w:p>
      <w:r>
        <w:t>Design §5.2.7 and §7.5: staging collections are unversioned pipeline_sources_* collections, one document per source row with every column preserved verbatim as a top-level Mongo field plus source_row_hash, upserted by natural key. staging_loader.py writes to versioned PublicStaging.Staging*_v_N collections, insert-only, with source columns nested under a “raw” subdocument, no source_row_hash, and drops NPPES rows outside state_scope at load time (staging is not a complete image of the source). A sequential in-memory row counter substitutes for the byte-offset indexing of EPIC-010-F-102-S-004-REQ-T-003.</w:t>
      </w:r>
    </w:p>
    <w:p>
      <w:pPr>
        <w:pStyle w:val="Heading2"/>
      </w:pPr>
      <w:r>
        <w:t>CF-28 — County-cascade partition key and partition access</w:t>
      </w:r>
    </w:p>
    <w:p>
      <w:r>
        <w:t>Design §5.2.14 keys the cascade partition on addresses[0] (primary practice) state; the code partitions by business mailing address state. (The design is itself inconsistent — §5.2.9 uses business mailing state — but §5.2.14 governs the cascade.) Additionally, steps/county_enrichment_cascade.py reads the partition from ctx.config while steps/provider_flags_enrichment.py reads ctx.partition; the two access patterns cannot both match the framework contract.</w:t>
      </w:r>
    </w:p>
    <w:p>
      <w:pPr>
        <w:pStyle w:val="Heading2"/>
      </w:pPr>
      <w:r>
        <w:t>CF-29 — Non-numeric FIPS from Google Maps stage</w:t>
      </w:r>
    </w:p>
    <w:p>
      <w:r>
        <w:t>county_cascade_engine.py writes county.fips values shaped “STATE::CountyName” when Google returns no numeric FIPS. Design §5.2.14 and the provider schema expect a numeric county FIPS code.</w:t>
      </w:r>
    </w:p>
    <w:p>
      <w:pPr>
        <w:pStyle w:val="Heading2"/>
      </w:pPr>
      <w:r>
        <w:t>CF-30 — Second branches deviate</w:t>
      </w:r>
    </w:p>
    <w:p>
      <w:r>
        <w:t>Design §5.2.16: the Type-1 second branch stamps F-105 flags. In code (type1_second_branch.py) it is a no-op count scan; flag stamping was moved to a separate provider_flags_enrichment step that runs before county enrichment, changing the designed step order. Design §5.2.17: the Type-2 second branch joins NUCC descriptors and materializes the institutional_identity object. In code (type2_second_branch.py) classification_label is hardcoded to “facility” and institutional_identity is never materialized.</w:t>
      </w:r>
    </w:p>
    <w:p>
      <w:pPr>
        <w:pStyle w:val="Heading2"/>
      </w:pPr>
      <w:r>
        <w:t>CF-31 — Post-load reconciliation deviates</w:t>
      </w:r>
    </w:p>
    <w:p>
      <w:r>
        <w:t>Design §5.2.18 requires three Controller-owned checks: row-count parity, NPI set parity, and a 100-per-state field spot-check, with threshold-driven abort. post_load_reconciliation.py performs only JSON-schema re-validation; the reconcile_npi_sets helper exists but is never called.</w:t>
      </w:r>
    </w:p>
    <w:p>
      <w:pPr>
        <w:pStyle w:val="Heading2"/>
      </w:pPr>
      <w:r>
        <w:t>CF-32 — Discrepancy vocabulary unenforced</w:t>
      </w:r>
    </w:p>
    <w:p>
      <w:r>
        <w:t>Design §6.1 defines a controlled reason vocabulary and requires Workers to reject unrecognized reasons at write time. pipeline_runtime.record_discrepancy performs no vocabulary validation; county_cascade_engine.py writes discrepancy rows directly to the collection, bypassing the helper; post_load_reconciliation.py writes arbitrary validator message strings as reasons.</w:t>
      </w:r>
    </w:p>
    <w:p>
      <w:pPr>
        <w:pStyle w:val="Heading2"/>
      </w:pPr>
      <w:r>
        <w:t>CF-33 — Discrepancy report and notifications deviate</w:t>
      </w:r>
    </w:p>
    <w:p>
      <w:r>
        <w:t>Design §5.2.19 places the report/notification step in the finally block, uploads the PDF to Blob, and sends the four §8 notifications through the shared chathealthylib notifications surface with the Controller’s F-003 signature (§3.1.10, §8). In code, steps/discrepancy_reports_and_notifications.py runs in the main loop (abnormal ends produce no report or notification), the PDF is emailed but never uploaded to Blob, notification_client.py calls SparkPost and Twilio directly with no F-003 signature and none of the four named templates, and receiver lists depend on operator_email/operator_sms fields the manifest never carries.</w:t>
      </w:r>
    </w:p>
    <w:p>
      <w:pPr>
        <w:pStyle w:val="Heading2"/>
      </w:pPr>
      <w:r>
        <w:t>CF-34 — ReservationReaper cadence and reaping rules deviate</w:t>
      </w:r>
    </w:p>
    <w:p>
      <w:r>
        <w:t>Design §3.1.2 (v34): the Reaper runs on three staggered 15-minute schedules and reaps strictly on expiry_at. The deployment manifest attaches a single 15-minute schedule (SCH-Reaper-15min), and runbooks/reservation_reaper.py additionally reaps pipeline_lock rows on log-silence heuristics and deletes cluster_lifecycle rows wholesale — reaping behavior the design explicitly excludes.</w:t>
      </w:r>
    </w:p>
    <w:p>
      <w:pPr>
        <w:pStyle w:val="Heading2"/>
      </w:pPr>
      <w:r>
        <w:t>CF-35 — Cost tracking absent</w:t>
      </w:r>
    </w:p>
    <w:p>
      <w:r>
        <w:t>Design §6.7 requires per-step wall-clock and peak memory appended to step_transitions, per-run totals computed at quiesce, and per-call vendor (Google Maps) cost roll-up. None of this is implemented; Google Maps calls are not cost-tracked.</w:t>
      </w:r>
    </w:p>
    <w:p>
      <w:pPr>
        <w:pStyle w:val="Heading2"/>
      </w:pPr>
      <w:r>
        <w:t>CF-36 — Dataset version naming and pointer deviate</w:t>
      </w:r>
    </w:p>
    <w:p>
      <w:r>
        <w:t>Design §6.8: provider datasets live under providers_v&lt;N&gt; with the active pointer at pipeline.config.dataset_versions. The code writes to PublicData.Provider_v_{n} (step_context.provider_write_target) and versions the staging collections as well, which the design does not call for.</w:t>
      </w:r>
    </w:p>
    <w:p>
      <w:pPr>
        <w:pStyle w:val="Heading2"/>
      </w:pPr>
      <w:r>
        <w:t>CF-37 — Two container images</w:t>
      </w:r>
    </w:p>
    <w:p>
      <w:r>
        <w:t>Design §4.2/§4.3.1 describes a single pipeline image pulled by cloud-init. The repository ships Dockerfile.control and Dockerfile.worker; the worker image belongs to the retired ACA substrate.</w:t>
      </w:r>
    </w:p>
    <w:p>
      <w:pPr>
        <w:pStyle w:val="Heading2"/>
      </w:pPr>
      <w:r>
        <w:t>CF-38 — Test tier layout incomplete</w:t>
      </w:r>
    </w:p>
    <w:p>
      <w:r>
        <w:t>Design §9.1 (Table 2) requires pipeline/Code/tests/{unit,integration,e2e,regression}/. The e2e directory does not exist, and numerous ad-hoc test scripts sit at the tests root outside the four-tier structure.</w:t>
      </w:r>
    </w:p>
    <w:p>
      <w:pPr>
        <w:pStyle w:val="Heading1"/>
      </w:pPr>
      <w:r>
        <w:t>Chapter 2 — Comment Findings (comments contradicting the design)</w:t>
      </w:r>
    </w:p>
    <w:p>
      <w:r>
        <w:t>Each finding cites a comment or docstring whose statement contradicts the v41 design (or the code it documents).</w:t>
      </w:r>
    </w:p>
    <w:p>
      <w:pPr>
        <w:pStyle w:val="Heading2"/>
      </w:pPr>
      <w:r>
        <w:t>CM-01 — Stale design-version citations throughout</w:t>
      </w:r>
    </w:p>
    <w:p>
      <w:r>
        <w:t>Module docstrings cite superseded design versions as their authority: v22 (step_spec.py, steps/quiesce_infrastructure.py, the one-line docstrings on type1/type2 branch and step modules, steps/load_nucc_classification_catalog.py), v23 (base_pipeline_orchestrator.py, staging_loader.py, embedding_engine.py, provider_pipeline_orchestrator.py), v32 (control_runner.py, pipeline_worker.py), v36 (inline section references in base_pipeline_orchestrator.py), v39 (provider_record_builder.py). No module cites v41, and several cite section numbers that do not exist in v41 (e.g. staging_loader.py cites “LLD §6.4” for staging collection names; v41 §6.4 is the skip-if-done mechanism).</w:t>
      </w:r>
    </w:p>
    <w:p>
      <w:pPr>
        <w:pStyle w:val="Heading2"/>
      </w:pPr>
      <w:r>
        <w:t>CM-02 — ACA comments contradict the v33+ prohibition</w:t>
      </w:r>
    </w:p>
    <w:p>
      <w:r>
        <w:t>Comments and docstrings describe Azure Container Apps as the execution substrate, which the design forbids from v33: base_pipeline_orchestrator.py (“ACA Control substrate”, “ACA Worker Jobs”), step_spec.py (aca_job_name field), provider_pipeline_runbook.py docstring (“ACA Job”), worker_runner.py (ACA Worker entrypoint), steps/quiesce_infrastructure.py (AcaJobManager usage), end_of_job_cleanup.py (“the only thing that survives is the Azure Container App itself”).</w:t>
      </w:r>
    </w:p>
    <w:p>
      <w:pPr>
        <w:pStyle w:val="Heading2"/>
      </w:pPr>
      <w:r>
        <w:t>CM-03 — staging_loader docstrings contradict design and code</w:t>
      </w:r>
    </w:p>
    <w:p>
      <w:r>
        <w:t>The module docstring claims the target collections are pipeline_sources_* “per LLD §6.4” while the code writes PublicStaging.Staging*_v_N; it claims byte-offset indexing realizing EPIC-010-F-102-S-004-REQ-T-003/T-004 while the code uses a sequential in-memory counter; and the _load_one_source docstring states rows from out-of-scope states “are preserved” while the helper it calls (_drop_prior_state_scoped_rows) deletes every row in the collection.</w:t>
      </w:r>
    </w:p>
    <w:p>
      <w:pPr>
        <w:pStyle w:val="Heading2"/>
      </w:pPr>
      <w:r>
        <w:t>CM-04 — Watchdog docstring cadence and logging wrong</w:t>
      </w:r>
    </w:p>
    <w:p>
      <w:r>
        <w:t>watchdog_runbook.py claims a 30-minute cron and blob logging. The deployed schedule is SCH-Watchdog-15min per design §3.1.2 (v34), and logging goes to Mongo via CHLS. (Design §6.9 also still says 30 minutes while §3.1.2 says 15 — an internal design inconsistency; the code comment matches neither.)</w:t>
      </w:r>
    </w:p>
    <w:p>
      <w:pPr>
        <w:pStyle w:val="Heading2"/>
      </w:pPr>
      <w:r>
        <w:t>CM-05 — Reaper docstring cadence wrong</w:t>
      </w:r>
    </w:p>
    <w:p>
      <w:r>
        <w:t>runbooks/reservation_reaper.py claims a 5-minute cron. Design §3.1.2 (v34) specifies three staggered 15-minute schedules; the deployment manifest attaches a single 15-minute schedule. The comment matches neither the design nor the deployment.</w:t>
      </w:r>
    </w:p>
    <w:p>
      <w:pPr>
        <w:pStyle w:val="Heading2"/>
      </w:pPr>
      <w:r>
        <w:t>CM-06 — Retired freshness-TTL concept cited</w:t>
      </w:r>
    </w:p>
    <w:p>
      <w:r>
        <w:t>source_fetch_engine.py references a “per-source freshness TTL (in days)” — the retired v23 age-based policy. Design §5.2.3 (v33+) explicitly never trusts age and decides freshness by publication comparison.</w:t>
      </w:r>
    </w:p>
    <w:p>
      <w:pPr>
        <w:pStyle w:val="Heading2"/>
      </w:pPr>
      <w:r>
        <w:t>CM-07 — Worker spawn mechanism described incorrectly</w:t>
      </w:r>
    </w:p>
    <w:p>
      <w:r>
        <w:t>pipeline_worker.py states Workers are “Invoked by the Controller via subprocess.Popen.” Design §4.3.3 (v37) launches Workers via chathealthy_lib.subprocess_utilities.spawn_detached_worker (double-fork + setsid + execvpe), which is what the Controller path actually does. The docstring also anchors its contract to v32 section numbers.</w:t>
      </w:r>
    </w:p>
    <w:p>
      <w:pPr>
        <w:pStyle w:val="Heading2"/>
      </w:pPr>
      <w:r>
        <w:t>CM-08 — Embedding step claimed against a design that has none</w:t>
      </w:r>
    </w:p>
    <w:p>
      <w:r>
        <w:t>embedding_engine.py claims to realize EPIC-010-F-102-S-006 and EPIC-010-F-103-S-006 per “LLD v23 A3.2 (embeddings step)”. v41 defines no embedding step in §5.2 and lists neither requirement in the coverage table.</w:t>
      </w:r>
    </w:p>
    <w:p>
      <w:pPr>
        <w:pStyle w:val="Heading2"/>
      </w:pPr>
      <w:r>
        <w:t>CM-09 — Nonexistent requirement and wrong field contract cited</w:t>
      </w:r>
    </w:p>
    <w:p>
      <w:r>
        <w:t>source_url_discovery.py cites REQ-T-006, which is absent from the v41 coverage table, and documents a required-fields contract (url, version_identifier, filename, published_date) that does not match §5.2.3’s published_at / version_tag.</w:t>
      </w:r>
    </w:p>
    <w:p>
      <w:pPr>
        <w:pStyle w:val="Heading2"/>
      </w:pPr>
      <w:r>
        <w:t>CM-10 — Wrong feature id and codified out-of-design structure</w:t>
      </w:r>
    </w:p>
    <w:p>
      <w:r>
        <w:t>The step registry aliases the F-105 specialty catalog load as load_f006_catalog (F-006 is the Manage Requests feature, not the classification catalog). type1_second_branch.py’s comment (“provider flags are stamped by provider_flags_enrichment”) documents as intended the step structure that contradicts design §5.2.16.</w:t>
      </w:r>
    </w:p>
    <w:p>
      <w:pPr>
        <w:pStyle w:val="Heading1"/>
      </w:pPr>
      <w:r>
        <w:t>Chapter 3 — Undocumented Capability Findings (bugs)</w:t>
      </w:r>
    </w:p>
    <w:p>
      <w:r>
        <w:t>Each finding records a capability implemented in the code that does not exist in the v41 design.</w:t>
      </w:r>
    </w:p>
    <w:p>
      <w:pPr>
        <w:pStyle w:val="Heading2"/>
      </w:pPr>
      <w:r>
        <w:t>UC-01 — ACA Jobs lifecycle capability</w:t>
      </w:r>
    </w:p>
    <w:p>
      <w:r>
        <w:t>aca_job_manager.py (live create/start/delete of Azure Container Apps Jobs), worker_runner.py (ACA Worker entrypoint), Dockerfile.worker, StepSpec.aca_job_name, and RunManifest.aca_job_resource_id together constitute a live ACA execution capability. ACA is explicitly forbidden by the design from v33 onward.</w:t>
      </w:r>
    </w:p>
    <w:p>
      <w:pPr>
        <w:pStyle w:val="Heading2"/>
      </w:pPr>
      <w:r>
        <w:t>UC-02 — Azure Functions / Durable Functions substrate</w:t>
      </w:r>
    </w:p>
    <w:p>
      <w:r>
        <w:t>host.json, auth.py (Bearer-token auth for Azure Functions), work_manager_entity.py (durable entity actor for a records-as-messages model), throttle_entity.py, throttle_entities.py, throttle_semaphore.py, and end_of_job_cleanup.py implement a Function-App/durable-entity substrate. The design contains no Function App and no actor model.</w:t>
      </w:r>
    </w:p>
    <w:p>
      <w:pPr>
        <w:pStyle w:val="Heading2"/>
      </w:pPr>
      <w:r>
        <w:t>UC-03 — pipeline_lock mutual exclusion</w:t>
      </w:r>
    </w:p>
    <w:p>
      <w:r>
        <w:t>control_runner.py acquires and releases a pipeline_lock:{pipeline_name} document, and the ReservationReaper reaps “stuck” locks by log-silence heuristics. This mutual-exclusion mechanism appears nowhere in the design’s coordination model (§4.3.4, §5.2.2, §5.2.20).</w:t>
      </w:r>
    </w:p>
    <w:p>
      <w:pPr>
        <w:pStyle w:val="Heading2"/>
      </w:pPr>
      <w:r>
        <w:t>UC-04 — Other-Identifier phrase pipeline</w:t>
      </w:r>
    </w:p>
    <w:p>
      <w:r>
        <w:t>Three orchestrated steps (harvest_other_identifier_phrases, classify_other_identifier_phrases, apply_other_identifier_classifications), other_identifier_phrases_engine.py (PydanticAI LLM classification), and the PublicStaging.OtherIdentifierPhrases staging table implement an LLM classification subsystem absent from §5.2. The steps are wired as prerequisites inside the main step graph, delaying the designed Type-1/Type-2 branch sequence. Providerother_identifiersHandeler.py, a Gemini-produced reference script with embedded sample records, is committed to the production tree.</w:t>
      </w:r>
    </w:p>
    <w:p>
      <w:pPr>
        <w:pStyle w:val="Heading2"/>
      </w:pPr>
      <w:r>
        <w:t>UC-05 — Embedding capability</w:t>
      </w:r>
    </w:p>
    <w:p>
      <w:r>
        <w:t>embedding_engine.py, provider_embedding.py, and PipelineArgs.embedding_enabled implement provider embeddings. v41 defines no embedding step. (Table 3 of §9.2 asserts embedding presence on every document, presuming a step the design never defines — a design gap — but the code capability itself is undesigned.)</w:t>
      </w:r>
    </w:p>
    <w:p>
      <w:pPr>
        <w:pStyle w:val="Heading2"/>
      </w:pPr>
      <w:r>
        <w:t>UC-06 — Prescriber / provider-quality subsystem</w:t>
      </w:r>
    </w:p>
    <w:p>
      <w:r>
        <w:t>prescriber_data_fetcher.py (CMS Part D, OIG LEIE, SAM.gov downloads), prescriber_enrichment_job.py (LLM drug→indication→ICD-10 mapping), prescriber_load_worker.py (builds a provider_quality collection), crosswalk_builder.py (RxNorm/DrugCentral/UMLS crosswalk), icd10_loader.py (CMS ICD-10-CM loader), and chunk_indexer.py (byte-range chunk index sidecar blobs) form an entire enrichment subsystem — vendor fetches, LLM calls, new collections, new blob artifacts — that appears nowhere in v41.</w:t>
      </w:r>
    </w:p>
    <w:p>
      <w:pPr>
        <w:pStyle w:val="Heading2"/>
      </w:pPr>
      <w:r>
        <w:t>UC-07 — data_migrator runbook family</w:t>
      </w:r>
    </w:p>
    <w:p>
      <w:r>
        <w:t>runbooks/data_migrator/{provisioner,migrator,orchestrator,deprovisioner}.py implement a cross-cluster data migration capability. v41 does not specify these runbooks or any migration job.</w:t>
      </w:r>
    </w:p>
    <w:p>
      <w:pPr>
        <w:pStyle w:val="Heading2"/>
      </w:pPr>
      <w:r>
        <w:t>UC-08 — is_primary_care field</w:t>
      </w:r>
    </w:p>
    <w:p>
      <w:r>
        <w:t>provider_record_builder.py derives and stamps is_primary_care on Type-1 records. The field is not part of the designed provider record treatment (§5.2.9, §7.1). Its derivation — true whenever a primary taxonomy switch exists — makes it true for nearly every provider.</w:t>
      </w:r>
    </w:p>
    <w:p>
      <w:pPr>
        <w:pStyle w:val="Heading2"/>
      </w:pPr>
      <w:r>
        <w:t>UC-09 — prepare_infrastructure extra activities</w:t>
      </w:r>
    </w:p>
    <w:p>
      <w:r>
        <w:t>steps/prepare_infrastructure.py invokes ensure_provider_indexes_activity (provider index creation) and a “safety cleanup” that deletes rows from PublicStaging.OtherIdentifierPhrases. Neither activity appears in §5.2.2.</w:t>
      </w:r>
    </w:p>
    <w:p>
      <w:pPr>
        <w:pStyle w:val="Heading2"/>
      </w:pPr>
      <w:r>
        <w:t>UC-10 — Runbook cloud-init extras</w:t>
      </w:r>
    </w:p>
    <w:p>
      <w:r>
        <w:t>provider_pipeline_runbook.py’s cloud-init includes an apt-mirror override and NVMe scratch-disk provisioning, and the runbook carries a hardcoded subscription-id fallback. None of these appear in §3.1.3 or §4.3.1.</w:t>
      </w:r>
    </w:p>
    <w:p>
      <w:pPr>
        <w:pStyle w:val="Heading2"/>
      </w:pPr>
      <w:r>
        <w:t>UC-11 — ReservationReaper extra capabilities</w:t>
      </w:r>
    </w:p>
    <w:p>
      <w:r>
        <w:t>runbooks/reservation_reaper.py performs Automation job-history purges, failure-streak tracking via a state blob plus escalation emails with hardcoded default addresses, and Atlas dbAccessHistory activity checks. Design §3.1.2 scopes the Reaper to expiry-based reservation reaping and the conditional Atlas pause.</w:t>
      </w:r>
    </w:p>
    <w:p>
      <w:pPr>
        <w:pStyle w:val="Heading2"/>
      </w:pPr>
      <w:r>
        <w:t>UC-12 — Undocumented persistence and config surfaces</w:t>
      </w:r>
    </w:p>
    <w:p>
      <w:r>
        <w:t>The code introduces admin.DataSourceRegistry (source freshness state), an always_refetch config knob (steps/source_freshness_gate.py), and a failure-state tracking blob (reaper). None of these surfaces exist in the design’s data contracts (§6.3, §7).</w:t>
      </w:r>
    </w:p>
    <w:p>
      <w:pPr>
        <w:pStyle w:val="Heading2"/>
      </w:pPr>
      <w:r>
        <w:t>UC-13 — Direct-channel notification clients</w:t>
      </w:r>
    </w:p>
    <w:p>
      <w:r>
        <w:t>notification_client.py calls SparkPost and Twilio directly, and pipeline_health.py sends admin email via SparkPost directly. The design routes all pipeline notifications through the shared chathealthylib notifications surface with F-003 signing (§3.1.10, §8).</w:t>
      </w:r>
    </w:p>
    <w:p>
      <w:pPr>
        <w:pStyle w:val="Heading2"/>
      </w:pPr>
      <w:r>
        <w:t>UC-14 — Utility and one-shot artifacts in the production tree</w:t>
      </w:r>
    </w:p>
    <w:p>
      <w:r>
        <w:t>Committed under pipeline/ without any design basis: build_provider_v03_from_v02.py (v02→v03 transform), count_providers_by_state.py (Router sync task), change_db_version.py runbook (§6.8 designates version promotion as an operator action but specifies no runbook), bootstrap_e2e.py, verify_e2e_readiness.py, upload_integration_snapshots.py, pipeline_integration_snapshot.py, and favicon.ico.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