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Medicare CMS Normalization Design</w:t>
      </w:r>
    </w:p>
    <w:p>
      <w:r>
        <w:rPr>
          <w:color w:val="555555"/>
          <w:sz w:val="24"/>
        </w:rPr>
        <w:t>Normalizing the denormalized, name-keyed CMS source files into the ProviderMedicare and SpecialtyMedicare collections, joining the drug portion to the FDA drug reference collection</w:t>
      </w:r>
    </w:p>
    <w:p>
      <w:r>
        <w:rPr>
          <w:color w:val="555555"/>
          <w:sz w:val="18"/>
        </w:rPr>
        <w:t>Version 1  ·  EPIC-010-F-007  ·  Medicare Provider Evaluation Data Pipeline</w:t>
      </w:r>
    </w:p>
    <w:p/>
    <w:p>
      <w:pPr>
        <w:pStyle w:val="Heading1"/>
      </w:pPr>
      <w:r>
        <w:t>1. Purpose and Scope</w:t>
      </w:r>
    </w:p>
    <w:p>
      <w:r>
        <w:t>This document specifies how the Medicare Provider Evaluation Data Pipeline produces its two front-end collections, ProviderMedicare and SpecialtyMedicare, from the public CMS Medicare Part B and Part D files, and how the drug portion of ProviderMedicare is joined to the FDA drug reference collection. The CMS files are denormalized and name-keyed: each carries many rows per provider, and Part D identifies a drug only by its printed brand and generic names — it carries no drug code. The pipeline normalizes and aggregates those rows up to the firm's target grain, and resolves each drug's molecule, RxNorm ingredient codes, and indications by joining the drug's normalized brand name to the FDA reference collection, which is the only side of the data that carries a code.</w:t>
      </w:r>
    </w:p>
    <w:p>
      <w:r>
        <w:t>In scope: the base build of ProviderMedicare, the drug normalization-and-join algorithm that attaches molecule, RxNorm ingredient codes, and indications to each provider's drugs, the FDA drug reference collection those facts are drawn from, and the SpecialtyMedicare rollup. Out of scope: the discrepancy-report visual-template refactor, which is a separate effort that consumes the findings this design records.</w:t>
      </w:r>
    </w:p>
    <w:p>
      <w:pPr>
        <w:pStyle w:val="Heading1"/>
      </w:pPr>
      <w:r>
        <w:t>2. The CMS Source As It Actually Is</w:t>
      </w:r>
    </w:p>
    <w:p>
      <w:r>
        <w:t>Both CMS files are national extracts published one row per provider-and-item combination, not one row per provider. A single NPI appears on as many rows as it has distinct drugs or distinct services. The record key of each file is a compound key, and the state column on each file is the provider's NPPES-located state, not the firm's business-mailing-address partition key.</w:t>
      </w:r>
    </w:p>
    <w:p>
      <w:pPr>
        <w:pStyle w:val="Heading2"/>
      </w:pPr>
      <w:r>
        <w:t>2.1 Part D — Prescribers by Provider and Drug</w:t>
      </w:r>
    </w:p>
    <w:p>
      <w:r>
        <w:t>Record key: Prscrbr_NPI + Brnd_Name + Gnrc_Name. One NPI maps to many rows, one per distinct drug. The row carries no drug code — there is no RxNorm concept id and no NDC on the Part D file; a drug is identified only by its brand name and generic name as printed. This is why the drug join is a brand-name join rather than a code join (Section 6.2). The state column Prscrbr_State_Abrvtn is the state where the provider is located as reported in NPPES.</w:t>
      </w:r>
    </w:p>
    <w:p>
      <w:r>
        <w:t>The volume columns carried per row are Tot_Clms, Tot_30day_Fills, Tot_Day_Suply, Tot_Drug_Cst, Tot_Benes, and the GE65_* age-band variants. These are the measures summed when a provider's rows for one brand collapse into a single drug entry.</w:t>
      </w:r>
    </w:p>
    <w:p>
      <w:r>
        <w:rPr>
          <w:i/>
          <w:color w:val="555555"/>
          <w:sz w:val="16"/>
        </w:rPr>
        <w:t>Table 2.1 — Part D 'by Provider and Drug' source columns.</w:t>
      </w:r>
    </w:p>
    <w:tbl>
      <w:tblPr>
        <w:tblStyle w:val="TableGrid"/>
        <w:tblW w:type="auto" w:w="0"/>
        <w:tblLayout w:type="fixed"/>
        <w:tblLook w:firstColumn="1" w:firstRow="1" w:lastColumn="0" w:lastRow="0" w:noHBand="0" w:noVBand="1" w:val="04A0"/>
      </w:tblPr>
      <w:tblGrid>
        <w:gridCol w:w="2880"/>
        <w:gridCol w:w="2880"/>
        <w:gridCol w:w="2880"/>
      </w:tblGrid>
      <w:tr>
        <w:tc>
          <w:tcPr>
            <w:tcW w:type="dxa" w:w="2880"/>
            <w:shd w:val="clear" w:color="auto" w:fill="1F3A5F"/>
          </w:tcPr>
          <w:p>
            <w:r/>
            <w:r>
              <w:rPr>
                <w:b/>
                <w:color w:val="FFFFFF"/>
                <w:sz w:val="18"/>
              </w:rPr>
              <w:t>CMS column</w:t>
            </w:r>
          </w:p>
        </w:tc>
        <w:tc>
          <w:tcPr>
            <w:tcW w:type="dxa" w:w="2880"/>
            <w:shd w:val="clear" w:color="auto" w:fill="1F3A5F"/>
          </w:tcPr>
          <w:p>
            <w:r/>
            <w:r>
              <w:rPr>
                <w:b/>
                <w:color w:val="FFFFFF"/>
                <w:sz w:val="18"/>
              </w:rPr>
              <w:t>Meaning</w:t>
            </w:r>
          </w:p>
        </w:tc>
        <w:tc>
          <w:tcPr>
            <w:tcW w:type="dxa" w:w="2880"/>
            <w:shd w:val="clear" w:color="auto" w:fill="1F3A5F"/>
          </w:tcPr>
          <w:p>
            <w:r/>
            <w:r>
              <w:rPr>
                <w:b/>
                <w:color w:val="FFFFFF"/>
                <w:sz w:val="18"/>
              </w:rPr>
              <w:t>Role in normalization</w:t>
            </w:r>
          </w:p>
        </w:tc>
      </w:tr>
      <w:tr>
        <w:tc>
          <w:tcPr>
            <w:tcW w:type="dxa" w:w="2880"/>
          </w:tcPr>
          <w:p>
            <w:r/>
            <w:r>
              <w:rPr>
                <w:sz w:val="18"/>
              </w:rPr>
              <w:t>Prscrbr_NPI</w:t>
            </w:r>
          </w:p>
        </w:tc>
        <w:tc>
          <w:tcPr>
            <w:tcW w:type="dxa" w:w="2880"/>
          </w:tcPr>
          <w:p>
            <w:r/>
            <w:r>
              <w:rPr>
                <w:sz w:val="18"/>
              </w:rPr>
              <w:t>Prescribing provider NPI</w:t>
            </w:r>
          </w:p>
        </w:tc>
        <w:tc>
          <w:tcPr>
            <w:tcW w:type="dxa" w:w="2880"/>
          </w:tcPr>
          <w:p>
            <w:r/>
            <w:r>
              <w:rPr>
                <w:sz w:val="18"/>
              </w:rPr>
              <w:t>Join key to Provider collection</w:t>
            </w:r>
          </w:p>
        </w:tc>
      </w:tr>
      <w:tr>
        <w:tc>
          <w:tcPr>
            <w:tcW w:type="dxa" w:w="2880"/>
          </w:tcPr>
          <w:p>
            <w:r/>
            <w:r>
              <w:rPr>
                <w:sz w:val="18"/>
              </w:rPr>
              <w:t>Brnd_Name</w:t>
            </w:r>
          </w:p>
        </w:tc>
        <w:tc>
          <w:tcPr>
            <w:tcW w:type="dxa" w:w="2880"/>
          </w:tcPr>
          <w:p>
            <w:r/>
            <w:r>
              <w:rPr>
                <w:sz w:val="18"/>
              </w:rPr>
              <w:t>Brand name of drug</w:t>
            </w:r>
          </w:p>
        </w:tc>
        <w:tc>
          <w:tcPr>
            <w:tcW w:type="dxa" w:w="2880"/>
          </w:tcPr>
          <w:p>
            <w:r/>
            <w:r>
              <w:rPr>
                <w:sz w:val="18"/>
              </w:rPr>
              <w:t>Drug grain key; normalized and joined to FDA collection</w:t>
            </w:r>
          </w:p>
        </w:tc>
      </w:tr>
      <w:tr>
        <w:tc>
          <w:tcPr>
            <w:tcW w:type="dxa" w:w="2880"/>
          </w:tcPr>
          <w:p>
            <w:r/>
            <w:r>
              <w:rPr>
                <w:sz w:val="18"/>
              </w:rPr>
              <w:t>Gnrc_Name</w:t>
            </w:r>
          </w:p>
        </w:tc>
        <w:tc>
          <w:tcPr>
            <w:tcW w:type="dxa" w:w="2880"/>
          </w:tcPr>
          <w:p>
            <w:r/>
            <w:r>
              <w:rPr>
                <w:sz w:val="18"/>
              </w:rPr>
              <w:t>Generic name of drug</w:t>
            </w:r>
          </w:p>
        </w:tc>
        <w:tc>
          <w:tcPr>
            <w:tcW w:type="dxa" w:w="2880"/>
          </w:tcPr>
          <w:p>
            <w:r/>
            <w:r>
              <w:rPr>
                <w:sz w:val="18"/>
              </w:rPr>
              <w:t>Carried onto the drug entry; part of the composed index</w:t>
            </w:r>
          </w:p>
        </w:tc>
      </w:tr>
      <w:tr>
        <w:tc>
          <w:tcPr>
            <w:tcW w:type="dxa" w:w="2880"/>
          </w:tcPr>
          <w:p>
            <w:r/>
            <w:r>
              <w:rPr>
                <w:sz w:val="18"/>
              </w:rPr>
              <w:t>Prscrbr_State_Abrvtn</w:t>
            </w:r>
          </w:p>
        </w:tc>
        <w:tc>
          <w:tcPr>
            <w:tcW w:type="dxa" w:w="2880"/>
          </w:tcPr>
          <w:p>
            <w:r/>
            <w:r>
              <w:rPr>
                <w:sz w:val="18"/>
              </w:rPr>
              <w:t>NPPES-located state</w:t>
            </w:r>
          </w:p>
        </w:tc>
        <w:tc>
          <w:tcPr>
            <w:tcW w:type="dxa" w:w="2880"/>
          </w:tcPr>
          <w:p>
            <w:r/>
            <w:r>
              <w:rPr>
                <w:sz w:val="18"/>
              </w:rPr>
              <w:t>Fan-out dimension only — never a join key</w:t>
            </w:r>
          </w:p>
        </w:tc>
      </w:tr>
      <w:tr>
        <w:tc>
          <w:tcPr>
            <w:tcW w:type="dxa" w:w="2880"/>
          </w:tcPr>
          <w:p>
            <w:r/>
            <w:r>
              <w:rPr>
                <w:sz w:val="18"/>
              </w:rPr>
              <w:t>Tot_Clms</w:t>
            </w:r>
          </w:p>
        </w:tc>
        <w:tc>
          <w:tcPr>
            <w:tcW w:type="dxa" w:w="2880"/>
          </w:tcPr>
          <w:p>
            <w:r/>
            <w:r>
              <w:rPr>
                <w:sz w:val="18"/>
              </w:rPr>
              <w:t>Total claims</w:t>
            </w:r>
          </w:p>
        </w:tc>
        <w:tc>
          <w:tcPr>
            <w:tcW w:type="dxa" w:w="2880"/>
          </w:tcPr>
          <w:p>
            <w:r/>
            <w:r>
              <w:rPr>
                <w:sz w:val="18"/>
              </w:rPr>
              <w:t>Summed on drug collapse</w:t>
            </w:r>
          </w:p>
        </w:tc>
      </w:tr>
      <w:tr>
        <w:tc>
          <w:tcPr>
            <w:tcW w:type="dxa" w:w="2880"/>
          </w:tcPr>
          <w:p>
            <w:r/>
            <w:r>
              <w:rPr>
                <w:sz w:val="18"/>
              </w:rPr>
              <w:t>Tot_Day_Suply</w:t>
            </w:r>
          </w:p>
        </w:tc>
        <w:tc>
          <w:tcPr>
            <w:tcW w:type="dxa" w:w="2880"/>
          </w:tcPr>
          <w:p>
            <w:r/>
            <w:r>
              <w:rPr>
                <w:sz w:val="18"/>
              </w:rPr>
              <w:t>Total day supply</w:t>
            </w:r>
          </w:p>
        </w:tc>
        <w:tc>
          <w:tcPr>
            <w:tcW w:type="dxa" w:w="2880"/>
          </w:tcPr>
          <w:p>
            <w:r/>
            <w:r>
              <w:rPr>
                <w:sz w:val="18"/>
              </w:rPr>
              <w:t>Summed on drug collapse</w:t>
            </w:r>
          </w:p>
        </w:tc>
      </w:tr>
      <w:tr>
        <w:tc>
          <w:tcPr>
            <w:tcW w:type="dxa" w:w="2880"/>
          </w:tcPr>
          <w:p>
            <w:r/>
            <w:r>
              <w:rPr>
                <w:sz w:val="18"/>
              </w:rPr>
              <w:t>Tot_Benes</w:t>
            </w:r>
          </w:p>
        </w:tc>
        <w:tc>
          <w:tcPr>
            <w:tcW w:type="dxa" w:w="2880"/>
          </w:tcPr>
          <w:p>
            <w:r/>
            <w:r>
              <w:rPr>
                <w:sz w:val="18"/>
              </w:rPr>
              <w:t>Total beneficiaries</w:t>
            </w:r>
          </w:p>
        </w:tc>
        <w:tc>
          <w:tcPr>
            <w:tcW w:type="dxa" w:w="2880"/>
          </w:tcPr>
          <w:p>
            <w:r/>
            <w:r>
              <w:rPr>
                <w:sz w:val="18"/>
              </w:rPr>
              <w:t>Summed on drug collapse</w:t>
            </w:r>
          </w:p>
        </w:tc>
      </w:tr>
      <w:tr>
        <w:tc>
          <w:tcPr>
            <w:tcW w:type="dxa" w:w="2880"/>
          </w:tcPr>
          <w:p>
            <w:r/>
            <w:r>
              <w:rPr>
                <w:sz w:val="18"/>
              </w:rPr>
              <w:t>Tot_Drug_Cst</w:t>
            </w:r>
          </w:p>
        </w:tc>
        <w:tc>
          <w:tcPr>
            <w:tcW w:type="dxa" w:w="2880"/>
          </w:tcPr>
          <w:p>
            <w:r/>
            <w:r>
              <w:rPr>
                <w:sz w:val="18"/>
              </w:rPr>
              <w:t>Total drug cost</w:t>
            </w:r>
          </w:p>
        </w:tc>
        <w:tc>
          <w:tcPr>
            <w:tcW w:type="dxa" w:w="2880"/>
          </w:tcPr>
          <w:p>
            <w:r/>
            <w:r>
              <w:rPr>
                <w:sz w:val="18"/>
              </w:rPr>
              <w:t>Summed on drug collapse</w:t>
            </w:r>
          </w:p>
        </w:tc>
      </w:tr>
    </w:tbl>
    <w:p>
      <w:pPr>
        <w:pStyle w:val="Heading2"/>
      </w:pPr>
      <w:r>
        <w:t>2.2 Part B — by Provider and Service</w:t>
      </w:r>
    </w:p>
    <w:p>
      <w:r>
        <w:t>Record key: Rndrng_NPI + HCPCS_Cd + Place_Of_Srvc — a three-part key. Place_Of_Srvc distinguishes facility (F) from non-facility (O) delivery, so a single provider-and-HCPCS pair can appear on two rows, one per place of service. One NPI maps to many rows. The state column Rndrng_Prvdr_State_Abrvtn carries the same NPPES-located caveat as Part D.</w:t>
      </w:r>
    </w:p>
    <w:p>
      <w:r>
        <w:rPr>
          <w:i/>
          <w:color w:val="555555"/>
          <w:sz w:val="16"/>
        </w:rPr>
        <w:t>Table 2.2 — Part B 'by Provider and Service' source columns.</w:t>
      </w:r>
    </w:p>
    <w:tbl>
      <w:tblPr>
        <w:tblStyle w:val="TableGrid"/>
        <w:tblW w:type="auto" w:w="0"/>
        <w:tblLayout w:type="fixed"/>
        <w:tblLook w:firstColumn="1" w:firstRow="1" w:lastColumn="0" w:lastRow="0" w:noHBand="0" w:noVBand="1" w:val="04A0"/>
      </w:tblPr>
      <w:tblGrid>
        <w:gridCol w:w="2880"/>
        <w:gridCol w:w="2880"/>
        <w:gridCol w:w="2880"/>
      </w:tblGrid>
      <w:tr>
        <w:tc>
          <w:tcPr>
            <w:tcW w:type="dxa" w:w="2880"/>
            <w:shd w:val="clear" w:color="auto" w:fill="1F3A5F"/>
          </w:tcPr>
          <w:p>
            <w:r/>
            <w:r>
              <w:rPr>
                <w:b/>
                <w:color w:val="FFFFFF"/>
                <w:sz w:val="18"/>
              </w:rPr>
              <w:t>CMS column</w:t>
            </w:r>
          </w:p>
        </w:tc>
        <w:tc>
          <w:tcPr>
            <w:tcW w:type="dxa" w:w="2880"/>
            <w:shd w:val="clear" w:color="auto" w:fill="1F3A5F"/>
          </w:tcPr>
          <w:p>
            <w:r/>
            <w:r>
              <w:rPr>
                <w:b/>
                <w:color w:val="FFFFFF"/>
                <w:sz w:val="18"/>
              </w:rPr>
              <w:t>Meaning</w:t>
            </w:r>
          </w:p>
        </w:tc>
        <w:tc>
          <w:tcPr>
            <w:tcW w:type="dxa" w:w="2880"/>
            <w:shd w:val="clear" w:color="auto" w:fill="1F3A5F"/>
          </w:tcPr>
          <w:p>
            <w:r/>
            <w:r>
              <w:rPr>
                <w:b/>
                <w:color w:val="FFFFFF"/>
                <w:sz w:val="18"/>
              </w:rPr>
              <w:t>Role in normalization</w:t>
            </w:r>
          </w:p>
        </w:tc>
      </w:tr>
      <w:tr>
        <w:tc>
          <w:tcPr>
            <w:tcW w:type="dxa" w:w="2880"/>
          </w:tcPr>
          <w:p>
            <w:r/>
            <w:r>
              <w:rPr>
                <w:sz w:val="18"/>
              </w:rPr>
              <w:t>Rndrng_NPI</w:t>
            </w:r>
          </w:p>
        </w:tc>
        <w:tc>
          <w:tcPr>
            <w:tcW w:type="dxa" w:w="2880"/>
          </w:tcPr>
          <w:p>
            <w:r/>
            <w:r>
              <w:rPr>
                <w:sz w:val="18"/>
              </w:rPr>
              <w:t>Rendering provider NPI</w:t>
            </w:r>
          </w:p>
        </w:tc>
        <w:tc>
          <w:tcPr>
            <w:tcW w:type="dxa" w:w="2880"/>
          </w:tcPr>
          <w:p>
            <w:r/>
            <w:r>
              <w:rPr>
                <w:sz w:val="18"/>
              </w:rPr>
              <w:t>Join key to Provider collection</w:t>
            </w:r>
          </w:p>
        </w:tc>
      </w:tr>
      <w:tr>
        <w:tc>
          <w:tcPr>
            <w:tcW w:type="dxa" w:w="2880"/>
          </w:tcPr>
          <w:p>
            <w:r/>
            <w:r>
              <w:rPr>
                <w:sz w:val="18"/>
              </w:rPr>
              <w:t>HCPCS_Cd</w:t>
            </w:r>
          </w:p>
        </w:tc>
        <w:tc>
          <w:tcPr>
            <w:tcW w:type="dxa" w:w="2880"/>
          </w:tcPr>
          <w:p>
            <w:r/>
            <w:r>
              <w:rPr>
                <w:sz w:val="18"/>
              </w:rPr>
              <w:t>Procedure (HCPCS) code</w:t>
            </w:r>
          </w:p>
        </w:tc>
        <w:tc>
          <w:tcPr>
            <w:tcW w:type="dxa" w:w="2880"/>
          </w:tcPr>
          <w:p>
            <w:r/>
            <w:r>
              <w:rPr>
                <w:sz w:val="18"/>
              </w:rPr>
              <w:t>Part of source key; target grain for procedures</w:t>
            </w:r>
          </w:p>
        </w:tc>
      </w:tr>
      <w:tr>
        <w:tc>
          <w:tcPr>
            <w:tcW w:type="dxa" w:w="2880"/>
          </w:tcPr>
          <w:p>
            <w:r/>
            <w:r>
              <w:rPr>
                <w:sz w:val="18"/>
              </w:rPr>
              <w:t>Place_Of_Srvc</w:t>
            </w:r>
          </w:p>
        </w:tc>
        <w:tc>
          <w:tcPr>
            <w:tcW w:type="dxa" w:w="2880"/>
          </w:tcPr>
          <w:p>
            <w:r/>
            <w:r>
              <w:rPr>
                <w:sz w:val="18"/>
              </w:rPr>
              <w:t>Facility (F) / non-facility (O)</w:t>
            </w:r>
          </w:p>
        </w:tc>
        <w:tc>
          <w:tcPr>
            <w:tcW w:type="dxa" w:w="2880"/>
          </w:tcPr>
          <w:p>
            <w:r/>
            <w:r>
              <w:rPr>
                <w:sz w:val="18"/>
              </w:rPr>
              <w:t>Part of source key; collapsed into one HCPCS entry</w:t>
            </w:r>
          </w:p>
        </w:tc>
      </w:tr>
      <w:tr>
        <w:tc>
          <w:tcPr>
            <w:tcW w:type="dxa" w:w="2880"/>
          </w:tcPr>
          <w:p>
            <w:r/>
            <w:r>
              <w:rPr>
                <w:sz w:val="18"/>
              </w:rPr>
              <w:t>HCPCS_Desc</w:t>
            </w:r>
          </w:p>
        </w:tc>
        <w:tc>
          <w:tcPr>
            <w:tcW w:type="dxa" w:w="2880"/>
          </w:tcPr>
          <w:p>
            <w:r/>
            <w:r>
              <w:rPr>
                <w:sz w:val="18"/>
              </w:rPr>
              <w:t>Procedure descriptor</w:t>
            </w:r>
          </w:p>
        </w:tc>
        <w:tc>
          <w:tcPr>
            <w:tcW w:type="dxa" w:w="2880"/>
          </w:tcPr>
          <w:p>
            <w:r/>
            <w:r>
              <w:rPr>
                <w:sz w:val="18"/>
              </w:rPr>
              <w:t>Carried onto the collapsed entry</w:t>
            </w:r>
          </w:p>
        </w:tc>
      </w:tr>
      <w:tr>
        <w:tc>
          <w:tcPr>
            <w:tcW w:type="dxa" w:w="2880"/>
          </w:tcPr>
          <w:p>
            <w:r/>
            <w:r>
              <w:rPr>
                <w:sz w:val="18"/>
              </w:rPr>
              <w:t>Rndrng_Prvdr_State_Abrvtn</w:t>
            </w:r>
          </w:p>
        </w:tc>
        <w:tc>
          <w:tcPr>
            <w:tcW w:type="dxa" w:w="2880"/>
          </w:tcPr>
          <w:p>
            <w:r/>
            <w:r>
              <w:rPr>
                <w:sz w:val="18"/>
              </w:rPr>
              <w:t>NPPES-located state</w:t>
            </w:r>
          </w:p>
        </w:tc>
        <w:tc>
          <w:tcPr>
            <w:tcW w:type="dxa" w:w="2880"/>
          </w:tcPr>
          <w:p>
            <w:r/>
            <w:r>
              <w:rPr>
                <w:sz w:val="18"/>
              </w:rPr>
              <w:t>Fan-out dimension only — never a join key</w:t>
            </w:r>
          </w:p>
        </w:tc>
      </w:tr>
      <w:tr>
        <w:tc>
          <w:tcPr>
            <w:tcW w:type="dxa" w:w="2880"/>
          </w:tcPr>
          <w:p>
            <w:r/>
            <w:r>
              <w:rPr>
                <w:sz w:val="18"/>
              </w:rPr>
              <w:t>Tot_Srvcs</w:t>
            </w:r>
          </w:p>
        </w:tc>
        <w:tc>
          <w:tcPr>
            <w:tcW w:type="dxa" w:w="2880"/>
          </w:tcPr>
          <w:p>
            <w:r/>
            <w:r>
              <w:rPr>
                <w:sz w:val="18"/>
              </w:rPr>
              <w:t>Total services</w:t>
            </w:r>
          </w:p>
        </w:tc>
        <w:tc>
          <w:tcPr>
            <w:tcW w:type="dxa" w:w="2880"/>
          </w:tcPr>
          <w:p>
            <w:r/>
            <w:r>
              <w:rPr>
                <w:sz w:val="18"/>
              </w:rPr>
              <w:t>Summed across the two place-of-service rows</w:t>
            </w:r>
          </w:p>
        </w:tc>
      </w:tr>
      <w:tr>
        <w:tc>
          <w:tcPr>
            <w:tcW w:type="dxa" w:w="2880"/>
          </w:tcPr>
          <w:p>
            <w:r/>
            <w:r>
              <w:rPr>
                <w:sz w:val="18"/>
              </w:rPr>
              <w:t>Tot_Benes</w:t>
            </w:r>
          </w:p>
        </w:tc>
        <w:tc>
          <w:tcPr>
            <w:tcW w:type="dxa" w:w="2880"/>
          </w:tcPr>
          <w:p>
            <w:r/>
            <w:r>
              <w:rPr>
                <w:sz w:val="18"/>
              </w:rPr>
              <w:t>Total beneficiaries</w:t>
            </w:r>
          </w:p>
        </w:tc>
        <w:tc>
          <w:tcPr>
            <w:tcW w:type="dxa" w:w="2880"/>
          </w:tcPr>
          <w:p>
            <w:r/>
            <w:r>
              <w:rPr>
                <w:sz w:val="18"/>
              </w:rPr>
              <w:t>Summed across the two place-of-service rows</w:t>
            </w:r>
          </w:p>
        </w:tc>
      </w:tr>
      <w:tr>
        <w:tc>
          <w:tcPr>
            <w:tcW w:type="dxa" w:w="2880"/>
          </w:tcPr>
          <w:p>
            <w:r/>
            <w:r>
              <w:rPr>
                <w:sz w:val="18"/>
              </w:rPr>
              <w:t>Avg_Sbmtd_Chrg</w:t>
            </w:r>
          </w:p>
        </w:tc>
        <w:tc>
          <w:tcPr>
            <w:tcW w:type="dxa" w:w="2880"/>
          </w:tcPr>
          <w:p>
            <w:r/>
            <w:r>
              <w:rPr>
                <w:sz w:val="18"/>
              </w:rPr>
              <w:t>Average submitted charge</w:t>
            </w:r>
          </w:p>
        </w:tc>
        <w:tc>
          <w:tcPr>
            <w:tcW w:type="dxa" w:w="2880"/>
          </w:tcPr>
          <w:p>
            <w:r/>
            <w:r>
              <w:rPr>
                <w:sz w:val="18"/>
              </w:rPr>
              <w:t>Carried per place of service (not averaged)</w:t>
            </w:r>
          </w:p>
        </w:tc>
      </w:tr>
      <w:tr>
        <w:tc>
          <w:tcPr>
            <w:tcW w:type="dxa" w:w="2880"/>
          </w:tcPr>
          <w:p>
            <w:r/>
            <w:r>
              <w:rPr>
                <w:sz w:val="18"/>
              </w:rPr>
              <w:t>Avg_Mdcr_Alowd_Amt</w:t>
            </w:r>
          </w:p>
        </w:tc>
        <w:tc>
          <w:tcPr>
            <w:tcW w:type="dxa" w:w="2880"/>
          </w:tcPr>
          <w:p>
            <w:r/>
            <w:r>
              <w:rPr>
                <w:sz w:val="18"/>
              </w:rPr>
              <w:t>Average Medicare allowed amount</w:t>
            </w:r>
          </w:p>
        </w:tc>
        <w:tc>
          <w:tcPr>
            <w:tcW w:type="dxa" w:w="2880"/>
          </w:tcPr>
          <w:p>
            <w:r/>
            <w:r>
              <w:rPr>
                <w:sz w:val="18"/>
              </w:rPr>
              <w:t>Carried per place of service (not averaged)</w:t>
            </w:r>
          </w:p>
        </w:tc>
      </w:tr>
      <w:tr>
        <w:tc>
          <w:tcPr>
            <w:tcW w:type="dxa" w:w="2880"/>
          </w:tcPr>
          <w:p>
            <w:r/>
            <w:r>
              <w:rPr>
                <w:sz w:val="18"/>
              </w:rPr>
              <w:t>Avg_Mdcr_Pymt_Amt</w:t>
            </w:r>
          </w:p>
        </w:tc>
        <w:tc>
          <w:tcPr>
            <w:tcW w:type="dxa" w:w="2880"/>
          </w:tcPr>
          <w:p>
            <w:r/>
            <w:r>
              <w:rPr>
                <w:sz w:val="18"/>
              </w:rPr>
              <w:t>Average Medicare payment amount</w:t>
            </w:r>
          </w:p>
        </w:tc>
        <w:tc>
          <w:tcPr>
            <w:tcW w:type="dxa" w:w="2880"/>
          </w:tcPr>
          <w:p>
            <w:r/>
            <w:r>
              <w:rPr>
                <w:sz w:val="18"/>
              </w:rPr>
              <w:t>Carried per place of service (not averaged)</w:t>
            </w:r>
          </w:p>
        </w:tc>
      </w:tr>
    </w:tbl>
    <w:p>
      <w:pPr>
        <w:pStyle w:val="Heading2"/>
      </w:pPr>
      <w:r>
        <w:t>2.3 The suppression floor</w:t>
      </w:r>
    </w:p>
    <w:p>
      <w:r>
        <w:t>CMS suppresses any row representing fewer than 11 claims or 10 or fewer beneficiaries. As a consequence the source is not exhaustive: a provider may be present on some drugs or services and absent on others, and a provider whose every item falls under the floor does not appear in the file at all. The build treats absence as absence — it never infers a zero or fabricates a suppressed row.</w:t>
      </w:r>
    </w:p>
    <w:p>
      <w:pPr>
        <w:pStyle w:val="Heading1"/>
      </w:pPr>
      <w:r>
        <w:t>3. Target Grain</w:t>
      </w:r>
    </w:p>
    <w:p>
      <w:r>
        <w:t>The two collections are built to the following grains. Each aggregates many source rows into exactly one entry per target key. Because Part D carries no drug code, the drug grain is the normalized brand name, not a code; the molecule and RxNorm ingredient codes are attributes attached by the brand join, not grain keys.</w:t>
      </w:r>
    </w:p>
    <w:p>
      <w:pPr>
        <w:pStyle w:val="Heading2"/>
      </w:pPr>
      <w:r>
        <w:t>3.1 ProviderMedicare — keyed by NPI</w:t>
      </w:r>
    </w:p>
    <w:p>
      <w:r>
        <w:rPr>
          <w:i/>
          <w:color w:val="555555"/>
          <w:sz w:val="16"/>
        </w:rPr>
        <w:t>Table 3.1 — ProviderMedicare is one document per NPI; its procedures and drugs arrays are the normalized result.</w:t>
      </w:r>
    </w:p>
    <w:tbl>
      <w:tblPr>
        <w:tblStyle w:val="TableGrid"/>
        <w:tblW w:type="auto" w:w="0"/>
        <w:tblLayout w:type="fixed"/>
        <w:tblLook w:firstColumn="1" w:firstRow="1" w:lastColumn="0" w:lastRow="0" w:noHBand="0" w:noVBand="1" w:val="04A0"/>
      </w:tblPr>
      <w:tblGrid>
        <w:gridCol w:w="2880"/>
        <w:gridCol w:w="2880"/>
        <w:gridCol w:w="2880"/>
      </w:tblGrid>
      <w:tr>
        <w:tc>
          <w:tcPr>
            <w:tcW w:type="dxa" w:w="2880"/>
            <w:shd w:val="clear" w:color="auto" w:fill="1F3A5F"/>
          </w:tcPr>
          <w:p>
            <w:r/>
            <w:r>
              <w:rPr>
                <w:b/>
                <w:color w:val="FFFFFF"/>
                <w:sz w:val="18"/>
              </w:rPr>
              <w:t>Array</w:t>
            </w:r>
          </w:p>
        </w:tc>
        <w:tc>
          <w:tcPr>
            <w:tcW w:type="dxa" w:w="2880"/>
            <w:shd w:val="clear" w:color="auto" w:fill="1F3A5F"/>
          </w:tcPr>
          <w:p>
            <w:r/>
            <w:r>
              <w:rPr>
                <w:b/>
                <w:color w:val="FFFFFF"/>
                <w:sz w:val="18"/>
              </w:rPr>
              <w:t>Grain (one entry per)</w:t>
            </w:r>
          </w:p>
        </w:tc>
        <w:tc>
          <w:tcPr>
            <w:tcW w:type="dxa" w:w="2880"/>
            <w:shd w:val="clear" w:color="auto" w:fill="1F3A5F"/>
          </w:tcPr>
          <w:p>
            <w:r/>
            <w:r>
              <w:rPr>
                <w:b/>
                <w:color w:val="FFFFFF"/>
                <w:sz w:val="18"/>
              </w:rPr>
              <w:t>Source rows collapsed into it</w:t>
            </w:r>
          </w:p>
        </w:tc>
      </w:tr>
      <w:tr>
        <w:tc>
          <w:tcPr>
            <w:tcW w:type="dxa" w:w="2880"/>
          </w:tcPr>
          <w:p>
            <w:r/>
            <w:r>
              <w:rPr>
                <w:sz w:val="18"/>
              </w:rPr>
              <w:t>procedures[]</w:t>
            </w:r>
          </w:p>
        </w:tc>
        <w:tc>
          <w:tcPr>
            <w:tcW w:type="dxa" w:w="2880"/>
          </w:tcPr>
          <w:p>
            <w:r/>
            <w:r>
              <w:rPr>
                <w:sz w:val="18"/>
              </w:rPr>
              <w:t>HCPCS_Cd</w:t>
            </w:r>
          </w:p>
        </w:tc>
        <w:tc>
          <w:tcPr>
            <w:tcW w:type="dxa" w:w="2880"/>
          </w:tcPr>
          <w:p>
            <w:r/>
            <w:r>
              <w:rPr>
                <w:sz w:val="18"/>
              </w:rPr>
              <w:t>The facility and non-facility rows for that HCPCS</w:t>
            </w:r>
          </w:p>
        </w:tc>
      </w:tr>
      <w:tr>
        <w:tc>
          <w:tcPr>
            <w:tcW w:type="dxa" w:w="2880"/>
          </w:tcPr>
          <w:p>
            <w:r/>
            <w:r>
              <w:rPr>
                <w:sz w:val="18"/>
              </w:rPr>
              <w:t>drugs[]</w:t>
            </w:r>
          </w:p>
        </w:tc>
        <w:tc>
          <w:tcPr>
            <w:tcW w:type="dxa" w:w="2880"/>
          </w:tcPr>
          <w:p>
            <w:r/>
            <w:r>
              <w:rPr>
                <w:sz w:val="18"/>
              </w:rPr>
              <w:t>Brand (normalized)</w:t>
            </w:r>
          </w:p>
        </w:tc>
        <w:tc>
          <w:tcPr>
            <w:tcW w:type="dxa" w:w="2880"/>
          </w:tcPr>
          <w:p>
            <w:r/>
            <w:r>
              <w:rPr>
                <w:sz w:val="18"/>
              </w:rPr>
              <w:t>The provider's Part D rows for that normalized brand that matched an FDA record</w:t>
            </w:r>
          </w:p>
        </w:tc>
      </w:tr>
    </w:tbl>
    <w:p>
      <w:pPr>
        <w:pStyle w:val="Heading2"/>
      </w:pPr>
      <w:r>
        <w:t>3.2 SpecialtyMedicare — keyed by NUCC</w:t>
      </w:r>
    </w:p>
    <w:p>
      <w:r>
        <w:rPr>
          <w:i/>
          <w:color w:val="555555"/>
          <w:sz w:val="16"/>
        </w:rPr>
        <w:t>Table 3.2 — SpecialtyMedicare is one document per NUCC specialty code; a provider counts under every NUCC it carries in any taxonomy slot.</w:t>
      </w:r>
    </w:p>
    <w:tbl>
      <w:tblPr>
        <w:tblStyle w:val="TableGrid"/>
        <w:tblW w:type="auto" w:w="0"/>
        <w:tblLayout w:type="fixed"/>
        <w:tblLook w:firstColumn="1" w:firstRow="1" w:lastColumn="0" w:lastRow="0" w:noHBand="0" w:noVBand="1" w:val="04A0"/>
      </w:tblPr>
      <w:tblGrid>
        <w:gridCol w:w="2880"/>
        <w:gridCol w:w="2880"/>
        <w:gridCol w:w="2880"/>
      </w:tblGrid>
      <w:tr>
        <w:tc>
          <w:tcPr>
            <w:tcW w:type="dxa" w:w="2880"/>
            <w:shd w:val="clear" w:color="auto" w:fill="1F3A5F"/>
          </w:tcPr>
          <w:p>
            <w:r/>
            <w:r>
              <w:rPr>
                <w:b/>
                <w:color w:val="FFFFFF"/>
                <w:sz w:val="18"/>
              </w:rPr>
              <w:t>Array</w:t>
            </w:r>
          </w:p>
        </w:tc>
        <w:tc>
          <w:tcPr>
            <w:tcW w:type="dxa" w:w="2880"/>
            <w:shd w:val="clear" w:color="auto" w:fill="1F3A5F"/>
          </w:tcPr>
          <w:p>
            <w:r/>
            <w:r>
              <w:rPr>
                <w:b/>
                <w:color w:val="FFFFFF"/>
                <w:sz w:val="18"/>
              </w:rPr>
              <w:t>Grain (one entry per)</w:t>
            </w:r>
          </w:p>
        </w:tc>
        <w:tc>
          <w:tcPr>
            <w:tcW w:type="dxa" w:w="2880"/>
            <w:shd w:val="clear" w:color="auto" w:fill="1F3A5F"/>
          </w:tcPr>
          <w:p>
            <w:r/>
            <w:r>
              <w:rPr>
                <w:b/>
                <w:color w:val="FFFFFF"/>
                <w:sz w:val="18"/>
              </w:rPr>
              <w:t>Built by rolling up</w:t>
            </w:r>
          </w:p>
        </w:tc>
      </w:tr>
      <w:tr>
        <w:tc>
          <w:tcPr>
            <w:tcW w:type="dxa" w:w="2880"/>
          </w:tcPr>
          <w:p>
            <w:r/>
            <w:r>
              <w:rPr>
                <w:sz w:val="18"/>
              </w:rPr>
              <w:t>procedures[]</w:t>
            </w:r>
          </w:p>
        </w:tc>
        <w:tc>
          <w:tcPr>
            <w:tcW w:type="dxa" w:w="2880"/>
          </w:tcPr>
          <w:p>
            <w:r/>
            <w:r>
              <w:rPr>
                <w:sz w:val="18"/>
              </w:rPr>
              <w:t>(HCPCS, NUCC)</w:t>
            </w:r>
          </w:p>
        </w:tc>
        <w:tc>
          <w:tcPr>
            <w:tcW w:type="dxa" w:w="2880"/>
          </w:tcPr>
          <w:p>
            <w:r/>
            <w:r>
              <w:rPr>
                <w:sz w:val="18"/>
              </w:rPr>
              <w:t>ProviderMedicare procedures across providers of the NUCC</w:t>
            </w:r>
          </w:p>
        </w:tc>
      </w:tr>
      <w:tr>
        <w:tc>
          <w:tcPr>
            <w:tcW w:type="dxa" w:w="2880"/>
          </w:tcPr>
          <w:p>
            <w:r/>
            <w:r>
              <w:rPr>
                <w:sz w:val="18"/>
              </w:rPr>
              <w:t>drugs[]</w:t>
            </w:r>
          </w:p>
        </w:tc>
        <w:tc>
          <w:tcPr>
            <w:tcW w:type="dxa" w:w="2880"/>
          </w:tcPr>
          <w:p>
            <w:r/>
            <w:r>
              <w:rPr>
                <w:sz w:val="18"/>
              </w:rPr>
              <w:t>(Brand, NUCC)</w:t>
            </w:r>
          </w:p>
        </w:tc>
        <w:tc>
          <w:tcPr>
            <w:tcW w:type="dxa" w:w="2880"/>
          </w:tcPr>
          <w:p>
            <w:r/>
            <w:r>
              <w:rPr>
                <w:sz w:val="18"/>
              </w:rPr>
              <w:t>ProviderMedicare drugs across providers of the NUCC</w:t>
            </w:r>
          </w:p>
        </w:tc>
      </w:tr>
    </w:tbl>
    <w:p>
      <w:pPr>
        <w:pStyle w:val="Heading1"/>
      </w:pPr>
      <w:r>
        <w:t>4. The FDA Drug Reference Collection</w:t>
      </w:r>
    </w:p>
    <w:p>
      <w:r>
        <w:t>The drug portion of ProviderMedicare draws its molecule, RxNorm ingredient codes, and indications from the FDA drug reference collection PipelinePublicHealthData.fdaProductToDiagnosisResolution_v_1. Part D carries no code, so this collection is the only side of the data from which a code and a set of indications can be obtained; the join between the two is the brand name.</w:t>
      </w:r>
    </w:p>
    <w:p>
      <w:pPr>
        <w:pStyle w:val="Heading2"/>
      </w:pPr>
      <w:r>
        <w:t>4.1 Shape</w:t>
      </w:r>
    </w:p>
    <w:p>
      <w:r>
        <w:t>The collection holds one document per FDA label / set_id. The fields the drug join reads are listed below.</w:t>
      </w:r>
    </w:p>
    <w:p>
      <w:r>
        <w:rPr>
          <w:i/>
          <w:color w:val="555555"/>
          <w:sz w:val="16"/>
        </w:rPr>
        <w:t>Table 4.1 — fdaProductToDiagnosisResolution_v_1 fields read by the drug join.</w:t>
      </w:r>
    </w:p>
    <w:tbl>
      <w:tblPr>
        <w:tblStyle w:val="TableGrid"/>
        <w:tblW w:type="auto" w:w="0"/>
        <w:tblLayout w:type="fixed"/>
        <w:tblLook w:firstColumn="1" w:firstRow="1" w:lastColumn="0" w:lastRow="0" w:noHBand="0" w:noVBand="1" w:val="04A0"/>
      </w:tblPr>
      <w:tblGrid>
        <w:gridCol w:w="2880"/>
        <w:gridCol w:w="2880"/>
        <w:gridCol w:w="2880"/>
      </w:tblGrid>
      <w:tr>
        <w:tc>
          <w:tcPr>
            <w:tcW w:type="dxa" w:w="2880"/>
            <w:shd w:val="clear" w:color="auto" w:fill="1F3A5F"/>
          </w:tcPr>
          <w:p>
            <w:r/>
            <w:r>
              <w:rPr>
                <w:b/>
                <w:color w:val="FFFFFF"/>
                <w:sz w:val="18"/>
              </w:rPr>
              <w:t>Field</w:t>
            </w:r>
          </w:p>
        </w:tc>
        <w:tc>
          <w:tcPr>
            <w:tcW w:type="dxa" w:w="2880"/>
            <w:shd w:val="clear" w:color="auto" w:fill="1F3A5F"/>
          </w:tcPr>
          <w:p>
            <w:r/>
            <w:r>
              <w:rPr>
                <w:b/>
                <w:color w:val="FFFFFF"/>
                <w:sz w:val="18"/>
              </w:rPr>
              <w:t>Shape</w:t>
            </w:r>
          </w:p>
        </w:tc>
        <w:tc>
          <w:tcPr>
            <w:tcW w:type="dxa" w:w="2880"/>
            <w:shd w:val="clear" w:color="auto" w:fill="1F3A5F"/>
          </w:tcPr>
          <w:p>
            <w:r/>
            <w:r>
              <w:rPr>
                <w:b/>
                <w:color w:val="FFFFFF"/>
                <w:sz w:val="18"/>
              </w:rPr>
              <w:t>Meaning</w:t>
            </w:r>
          </w:p>
        </w:tc>
      </w:tr>
      <w:tr>
        <w:tc>
          <w:tcPr>
            <w:tcW w:type="dxa" w:w="2880"/>
          </w:tcPr>
          <w:p>
            <w:r/>
            <w:r>
              <w:rPr>
                <w:sz w:val="18"/>
              </w:rPr>
              <w:t>openfda.brand_name</w:t>
            </w:r>
          </w:p>
        </w:tc>
        <w:tc>
          <w:tcPr>
            <w:tcW w:type="dxa" w:w="2880"/>
          </w:tcPr>
          <w:p>
            <w:r/>
            <w:r>
              <w:rPr>
                <w:sz w:val="18"/>
              </w:rPr>
              <w:t>list</w:t>
            </w:r>
          </w:p>
        </w:tc>
        <w:tc>
          <w:tcPr>
            <w:tcW w:type="dxa" w:w="2880"/>
          </w:tcPr>
          <w:p>
            <w:r/>
            <w:r>
              <w:rPr>
                <w:sz w:val="18"/>
              </w:rPr>
              <w:t>Printed brand name(s) on the label; the brand-join surface</w:t>
            </w:r>
          </w:p>
        </w:tc>
      </w:tr>
      <w:tr>
        <w:tc>
          <w:tcPr>
            <w:tcW w:type="dxa" w:w="2880"/>
          </w:tcPr>
          <w:p>
            <w:r/>
            <w:r>
              <w:rPr>
                <w:sz w:val="18"/>
              </w:rPr>
              <w:t>openfda.generic_name</w:t>
            </w:r>
          </w:p>
        </w:tc>
        <w:tc>
          <w:tcPr>
            <w:tcW w:type="dxa" w:w="2880"/>
          </w:tcPr>
          <w:p>
            <w:r/>
            <w:r>
              <w:rPr>
                <w:sz w:val="18"/>
              </w:rPr>
              <w:t>list</w:t>
            </w:r>
          </w:p>
        </w:tc>
        <w:tc>
          <w:tcPr>
            <w:tcW w:type="dxa" w:w="2880"/>
          </w:tcPr>
          <w:p>
            <w:r/>
            <w:r>
              <w:rPr>
                <w:sz w:val="18"/>
              </w:rPr>
              <w:t>Printed generic name(s) on the label</w:t>
            </w:r>
          </w:p>
        </w:tc>
      </w:tr>
      <w:tr>
        <w:tc>
          <w:tcPr>
            <w:tcW w:type="dxa" w:w="2880"/>
          </w:tcPr>
          <w:p>
            <w:r/>
            <w:r>
              <w:rPr>
                <w:sz w:val="18"/>
              </w:rPr>
              <w:t>molecule</w:t>
            </w:r>
          </w:p>
        </w:tc>
        <w:tc>
          <w:tcPr>
            <w:tcW w:type="dxa" w:w="2880"/>
          </w:tcPr>
          <w:p>
            <w:r/>
            <w:r>
              <w:rPr>
                <w:sz w:val="18"/>
              </w:rPr>
              <w:t>scalar</w:t>
            </w:r>
          </w:p>
        </w:tc>
        <w:tc>
          <w:tcPr>
            <w:tcW w:type="dxa" w:w="2880"/>
          </w:tcPr>
          <w:p>
            <w:r/>
            <w:r>
              <w:rPr>
                <w:sz w:val="18"/>
              </w:rPr>
              <w:t>The active molecule the label resolves to</w:t>
            </w:r>
          </w:p>
        </w:tc>
      </w:tr>
      <w:tr>
        <w:tc>
          <w:tcPr>
            <w:tcW w:type="dxa" w:w="2880"/>
          </w:tcPr>
          <w:p>
            <w:r/>
            <w:r>
              <w:rPr>
                <w:sz w:val="18"/>
              </w:rPr>
              <w:t>ingredient_rxcuis</w:t>
            </w:r>
          </w:p>
        </w:tc>
        <w:tc>
          <w:tcPr>
            <w:tcW w:type="dxa" w:w="2880"/>
          </w:tcPr>
          <w:p>
            <w:r/>
            <w:r>
              <w:rPr>
                <w:sz w:val="18"/>
              </w:rPr>
              <w:t>list</w:t>
            </w:r>
          </w:p>
        </w:tc>
        <w:tc>
          <w:tcPr>
            <w:tcW w:type="dxa" w:w="2880"/>
          </w:tcPr>
          <w:p>
            <w:r/>
            <w:r>
              <w:rPr>
                <w:sz w:val="18"/>
              </w:rPr>
              <w:t>Ingredient-level RxNorm concept ids for the molecule</w:t>
            </w:r>
          </w:p>
        </w:tc>
      </w:tr>
      <w:tr>
        <w:tc>
          <w:tcPr>
            <w:tcW w:type="dxa" w:w="2880"/>
          </w:tcPr>
          <w:p>
            <w:r/>
            <w:r>
              <w:rPr>
                <w:sz w:val="18"/>
              </w:rPr>
              <w:t>indications</w:t>
            </w:r>
          </w:p>
        </w:tc>
        <w:tc>
          <w:tcPr>
            <w:tcW w:type="dxa" w:w="2880"/>
          </w:tcPr>
          <w:p>
            <w:r/>
            <w:r>
              <w:rPr>
                <w:sz w:val="18"/>
              </w:rPr>
              <w:t>list</w:t>
            </w:r>
          </w:p>
        </w:tc>
        <w:tc>
          <w:tcPr>
            <w:tcW w:type="dxa" w:w="2880"/>
          </w:tcPr>
          <w:p>
            <w:r/>
            <w:r>
              <w:rPr>
                <w:sz w:val="18"/>
              </w:rPr>
              <w:t>Entries of {indication, ...} parsed from the label</w:t>
            </w:r>
          </w:p>
        </w:tc>
      </w:tr>
      <w:tr>
        <w:tc>
          <w:tcPr>
            <w:tcW w:type="dxa" w:w="2880"/>
          </w:tcPr>
          <w:p>
            <w:r/>
            <w:r>
              <w:rPr>
                <w:sz w:val="18"/>
              </w:rPr>
              <w:t>openfda.product_type</w:t>
            </w:r>
          </w:p>
        </w:tc>
        <w:tc>
          <w:tcPr>
            <w:tcW w:type="dxa" w:w="2880"/>
          </w:tcPr>
          <w:p>
            <w:r/>
            <w:r>
              <w:rPr>
                <w:sz w:val="18"/>
              </w:rPr>
              <w:t>list</w:t>
            </w:r>
          </w:p>
        </w:tc>
        <w:tc>
          <w:tcPr>
            <w:tcW w:type="dxa" w:w="2880"/>
          </w:tcPr>
          <w:p>
            <w:r/>
            <w:r>
              <w:rPr>
                <w:sz w:val="18"/>
              </w:rPr>
              <w:t>Prescription / OTC marker; drives the OTC exclusion</w:t>
            </w:r>
          </w:p>
        </w:tc>
      </w:tr>
    </w:tbl>
    <w:p>
      <w:pPr>
        <w:pStyle w:val="Heading2"/>
      </w:pPr>
      <w:r>
        <w:t>4.2 One brand resolves to one molecule and one RxNorm ingredient set</w:t>
      </w:r>
    </w:p>
    <w:p>
      <w:r>
        <w:t>A single brand maps to many label documents, but across those documents the molecule and the ingredient RxNorm set collapse to one value. The extra documents are repackager labels (for example Bryant Ranch Prepack, Direct_Rx, NuCare) rather than distinct approvals. Validated against the live collection: brand 'Gabapentin' spans 13 documents, all carrying ingredient RxNorm ['25480'] and one molecule; 'Alprazolam' spans 12 documents, all molecule ALPRAZOLAM / RxNorm 596; 'Ibuprofen' spans 11 documents, all IBUPROFEN / RxNorm 5640. Of 1,019 distinct brands examined, only 13 appeared to map to more than one molecule, and every one of those is a salt-spelling variant of a single molecule (SUMATRIPTAN vs SUMATRIPTAN SUCCINATE; LIDOCAINE vs LIDOCAINE HYDROCHLORIDE; DOXYCYCLINE vs DOXYCYCLINE HYCLATE; COLCHICINE vs a COLCHICEINE typo). The design therefore treats a normalized brand as resolving to exactly one molecule and one ingredient RxNorm set.</w:t>
      </w:r>
    </w:p>
    <w:p>
      <w:pPr>
        <w:pStyle w:val="Heading2"/>
      </w:pPr>
      <w:r>
        <w:t>4.3 Aggregating FDA to one record per normalized brand</w:t>
      </w:r>
    </w:p>
    <w:p>
      <w:r>
        <w:t>The FDA collection is aggregated to one reference record per normalized brand before the provider join runs. Each aggregated record carries the normalized brand, the single molecule, the shared ingredient RxNorm set, and the union of indications across every label document under that brand. Because the same clinical indication appears in phrasing variants across labels — 'Panic disorder' vs 'Panic disorder with or without agoraphobia' vs the same 'in adults'; 'Mild to moderate pain' vs 'Mild-to-moderate pain' — the union is deduplicated by normalized indication text so a brand carries each distinct indication once.</w:t>
      </w:r>
    </w:p>
    <w:p>
      <w:pPr>
        <w:pStyle w:val="Heading2"/>
      </w:pPr>
      <w:r>
        <w:t>4.4 OTC exclusion and its known risk</w:t>
      </w:r>
    </w:p>
    <w:p>
      <w:r>
        <w:t>The reference collection is built to contain human prescription drugs only. The OTC exclusion lives in index_fda_prescription_records.py: a label is dropped if openfda.product_type contains 'OTC', or if it lacks an indications_and_usage section. In a raw 20,000-label sample the tags broke down as 1,773 PRESCRIPTION, 2,206 OTC, and 16,021 untagged (empty openfda); the untagged labels are mostly OTC monographs carrying Drug Facts sections (purpose, keep_out_of_reach_of_children, stop_use) and are excluded by the no-indications_and_usage gate. The built collection is consequently 100% human prescription drug, and the drug path reads only this already-prescription-only collection — it never admits an OTC label.</w:t>
      </w:r>
    </w:p>
    <w:p>
      <w:r>
        <w:t>Known risk: an untagged OTC label that nonetheless carries an indications_and_usage section would pass both gates — it is neither marked OTC nor missing indications — and would reach the reference collection. The two gates do not catch this case; it is recorded here as a residual exposure rather than silently accepted.</w:t>
      </w:r>
    </w:p>
    <w:p>
      <w:pPr>
        <w:pStyle w:val="Heading2"/>
      </w:pPr>
      <w:r>
        <w:t>4.5 Collection completeness and the rebuild prerequisite</w:t>
      </w:r>
    </w:p>
    <w:p>
      <w:r>
        <w:t>The FDA collection as currently built is the incomplete partition[0]-only build: 1,731 documents spanning 818 distinct brands. The all-partitions sharded fetch has been implemented, and a full rebuild of the collection is the prerequisite for full drug-join coverage. A brand-overlap test of CMS brands (3,055 distinct) against the current FDA brands (818 distinct) matched 404. That match rate is bounded by the FDA collection's incompleteness and by residual brand-formatting differences between the two sides — not by the join mechanism; the normalization in Section 6.2 narrows the formatting gap, and the full rebuild closes the completeness gap.</w:t>
      </w:r>
    </w:p>
    <w:p>
      <w:r>
        <w:t>This completeness is a hard prerequisite for the inner-join discard rule (Section 6.2). Discarding a CMS drug that does not match the FDA collection is correct only when the FDA collection is complete, so that a non-match means the drug genuinely is not a resolvable human prescription drug. Against the partial 1,731-document build the same discard would drop roughly 87% of CMS drug records — a non-match there means the FDA side is missing, not that the drug is unresolvable. The discard rule therefore presumes the full-partition rebuild and must not be run against a partial build.</w:t>
      </w:r>
    </w:p>
    <w:p>
      <w:pPr>
        <w:pStyle w:val="Heading1"/>
      </w:pPr>
      <w:r>
        <w:t>5. Normalization and Aggregation Rules</w:t>
      </w:r>
    </w:p>
    <w:p>
      <w:r>
        <w:t>Normalization is expressed as pure functions over row data: the input is a list of raw CMS row dicts for one NPI, and the output is the grained procedures and drugs arrays for that NPI. Holding the logic as pure functions keeps the aggregation testable in memory with fake rows and independent of any database.</w:t>
      </w:r>
    </w:p>
    <w:p>
      <w:pPr>
        <w:pStyle w:val="Heading2"/>
      </w:pPr>
      <w:r>
        <w:t>5.1 Collapsing procedures (place of service → HCPCS)</w:t>
      </w:r>
    </w:p>
    <w:p>
      <w:r>
        <w:t>The facility (F) and non-facility (O) rows for one provider-and-HCPCS pair collapse into a single procedures[] entry:</w:t>
      </w:r>
    </w:p>
    <w:p>
      <w:pPr>
        <w:pStyle w:val="ListBullet"/>
      </w:pPr>
      <w:r>
        <w:t>Tot_Srvcs and Tot_Benes are summed across the two rows.</w:t>
      </w:r>
    </w:p>
    <w:p>
      <w:pPr>
        <w:pStyle w:val="ListBullet"/>
      </w:pPr>
      <w:r>
        <w:t>The dollar amounts Avg_Sbmtd_Chrg, Avg_Mdcr_Alowd_Amt and Avg_Mdcr_Pymt_Amt are carried separately for facility and non-facility, not averaged together. The two place-of-service fee schedules are genuinely different amounts; averaging them would lose information, whereas carrying both is lossless.</w:t>
      </w:r>
    </w:p>
    <w:p>
      <w:pPr>
        <w:pStyle w:val="ListBullet"/>
      </w:pPr>
      <w:r>
        <w:t>HCPCS_Desc is carried onto the collapsed entry as the procedure's descriptor.</w:t>
      </w:r>
    </w:p>
    <w:p>
      <w:pPr>
        <w:pStyle w:val="Heading2"/>
      </w:pPr>
      <w:r>
        <w:t>5.2 The brand join key — normalized with plain string operations</w:t>
      </w:r>
    </w:p>
    <w:p>
      <w:r>
        <w:t>The drug join is a brand-name join, so the brand string must be reconciled between the CMS side and the FDA side. The normalization uses plain string operations only — no regular expressions, which the engineering rules forbid in pipeline code — and is applied identically to both sides so the two normalized keys meet:</w:t>
      </w:r>
    </w:p>
    <w:p>
      <w:pPr>
        <w:pStyle w:val="ListBullet"/>
      </w:pPr>
      <w:r>
        <w:t>Uppercase and strip surrounding whitespace.</w:t>
      </w:r>
    </w:p>
    <w:p>
      <w:pPr>
        <w:pStyle w:val="ListBullet"/>
      </w:pPr>
      <w:r>
        <w:t>Reconcile hyphen combinations, so an 'X-Y' combination form and an 'X AND Y' form resolve to the same key.</w:t>
      </w:r>
    </w:p>
    <w:p>
      <w:pPr>
        <w:pStyle w:val="ListBullet"/>
      </w:pPr>
      <w:r>
        <w:t>Strip salt suffixes (for example ' HCL', ' HYDROCHLORIDE', ' SULFATE') where the suffix is what blocks a match, so a salt-spelling variant meets its base brand.</w:t>
      </w:r>
    </w:p>
    <w:p>
      <w:pPr>
        <w:pStyle w:val="ListBullet"/>
      </w:pPr>
      <w:r>
        <w:t>Strip dosage-form suffixes (for example ' ER', ' XR') where they block a match.</w:t>
      </w:r>
    </w:p>
    <w:p>
      <w:r>
        <w:t>The rules are kept conservative and data-driven: a transformation is applied only where the live data shows it is what prevents two spellings of the same brand from meeting, so normalization never collapses two genuinely distinct brands.</w:t>
      </w:r>
    </w:p>
    <w:p>
      <w:pPr>
        <w:pStyle w:val="Heading2"/>
      </w:pPr>
      <w:r>
        <w:t>5.3 Aggregating drugs per provider and attaching FDA facts</w:t>
      </w:r>
    </w:p>
    <w:p>
      <w:r>
        <w:t>For each provider NPI, the provider's Part D rows are aggregated to one candidate drug entry per normalized brand, with Tot_Clms, Tot_Day_Suply, Tot_Benes and Tot_Drug_Cst summed across that provider's rows for the brand. The brand's aggregated FDA reference record (Section 4.3) is then joined in, contributing the molecule, the ingredient RxNorm set, and the unioned-deduplicated indications; the generic name from the Part D row is carried onto the entry as well. The join is an inner join (Section 6.2): a candidate whose brand finds no FDA record is discarded rather than carried, so every surviving drug entry holds brand, generic, molecule, RxNorm code set, indications, and the summed volume measures.</w:t>
      </w:r>
    </w:p>
    <w:p>
      <w:pPr>
        <w:pStyle w:val="Heading2"/>
      </w:pPr>
      <w:r>
        <w:t>5.4 Field mapping — source to ProviderMedicare</w:t>
      </w:r>
    </w:p>
    <w:p>
      <w:r>
        <w:rPr>
          <w:i/>
          <w:color w:val="555555"/>
          <w:sz w:val="16"/>
        </w:rPr>
        <w:t>Table 5.4 — ProviderMedicare field mapping.</w:t>
      </w:r>
    </w:p>
    <w:tbl>
      <w:tblPr>
        <w:tblStyle w:val="TableGrid"/>
        <w:tblW w:type="auto" w:w="0"/>
        <w:tblLayout w:type="fixed"/>
        <w:tblLook w:firstColumn="1" w:firstRow="1" w:lastColumn="0" w:lastRow="0" w:noHBand="0" w:noVBand="1" w:val="04A0"/>
      </w:tblPr>
      <w:tblGrid>
        <w:gridCol w:w="2880"/>
        <w:gridCol w:w="2880"/>
        <w:gridCol w:w="2880"/>
      </w:tblGrid>
      <w:tr>
        <w:tc>
          <w:tcPr>
            <w:tcW w:type="dxa" w:w="2880"/>
            <w:shd w:val="clear" w:color="auto" w:fill="1F3A5F"/>
          </w:tcPr>
          <w:p>
            <w:r/>
            <w:r>
              <w:rPr>
                <w:b/>
                <w:color w:val="FFFFFF"/>
                <w:sz w:val="18"/>
              </w:rPr>
              <w:t>Target field</w:t>
            </w:r>
          </w:p>
        </w:tc>
        <w:tc>
          <w:tcPr>
            <w:tcW w:type="dxa" w:w="2880"/>
            <w:shd w:val="clear" w:color="auto" w:fill="1F3A5F"/>
          </w:tcPr>
          <w:p>
            <w:r/>
            <w:r>
              <w:rPr>
                <w:b/>
                <w:color w:val="FFFFFF"/>
                <w:sz w:val="18"/>
              </w:rPr>
              <w:t>Source</w:t>
            </w:r>
          </w:p>
        </w:tc>
        <w:tc>
          <w:tcPr>
            <w:tcW w:type="dxa" w:w="2880"/>
            <w:shd w:val="clear" w:color="auto" w:fill="1F3A5F"/>
          </w:tcPr>
          <w:p>
            <w:r/>
            <w:r>
              <w:rPr>
                <w:b/>
                <w:color w:val="FFFFFF"/>
                <w:sz w:val="18"/>
              </w:rPr>
              <w:t>Rule</w:t>
            </w:r>
          </w:p>
        </w:tc>
      </w:tr>
      <w:tr>
        <w:tc>
          <w:tcPr>
            <w:tcW w:type="dxa" w:w="2880"/>
          </w:tcPr>
          <w:p>
            <w:r/>
            <w:r>
              <w:rPr>
                <w:sz w:val="18"/>
              </w:rPr>
              <w:t>procedures[].hcpcs</w:t>
            </w:r>
          </w:p>
        </w:tc>
        <w:tc>
          <w:tcPr>
            <w:tcW w:type="dxa" w:w="2880"/>
          </w:tcPr>
          <w:p>
            <w:r/>
            <w:r>
              <w:rPr>
                <w:sz w:val="18"/>
              </w:rPr>
              <w:t>HCPCS_Cd</w:t>
            </w:r>
          </w:p>
        </w:tc>
        <w:tc>
          <w:tcPr>
            <w:tcW w:type="dxa" w:w="2880"/>
          </w:tcPr>
          <w:p>
            <w:r/>
            <w:r>
              <w:rPr>
                <w:sz w:val="18"/>
              </w:rPr>
              <w:t>Grain key</w:t>
            </w:r>
          </w:p>
        </w:tc>
      </w:tr>
      <w:tr>
        <w:tc>
          <w:tcPr>
            <w:tcW w:type="dxa" w:w="2880"/>
          </w:tcPr>
          <w:p>
            <w:r/>
            <w:r>
              <w:rPr>
                <w:sz w:val="18"/>
              </w:rPr>
              <w:t>procedures[].descriptor</w:t>
            </w:r>
          </w:p>
        </w:tc>
        <w:tc>
          <w:tcPr>
            <w:tcW w:type="dxa" w:w="2880"/>
          </w:tcPr>
          <w:p>
            <w:r/>
            <w:r>
              <w:rPr>
                <w:sz w:val="18"/>
              </w:rPr>
              <w:t>HCPCS_Desc</w:t>
            </w:r>
          </w:p>
        </w:tc>
        <w:tc>
          <w:tcPr>
            <w:tcW w:type="dxa" w:w="2880"/>
          </w:tcPr>
          <w:p>
            <w:r/>
            <w:r>
              <w:rPr>
                <w:sz w:val="18"/>
              </w:rPr>
              <w:t>Carried as-is</w:t>
            </w:r>
          </w:p>
        </w:tc>
      </w:tr>
      <w:tr>
        <w:tc>
          <w:tcPr>
            <w:tcW w:type="dxa" w:w="2880"/>
          </w:tcPr>
          <w:p>
            <w:r/>
            <w:r>
              <w:rPr>
                <w:sz w:val="18"/>
              </w:rPr>
              <w:t>procedures[].service_count</w:t>
            </w:r>
          </w:p>
        </w:tc>
        <w:tc>
          <w:tcPr>
            <w:tcW w:type="dxa" w:w="2880"/>
          </w:tcPr>
          <w:p>
            <w:r/>
            <w:r>
              <w:rPr>
                <w:sz w:val="18"/>
              </w:rPr>
              <w:t>Tot_Srvcs</w:t>
            </w:r>
          </w:p>
        </w:tc>
        <w:tc>
          <w:tcPr>
            <w:tcW w:type="dxa" w:w="2880"/>
          </w:tcPr>
          <w:p>
            <w:r/>
            <w:r>
              <w:rPr>
                <w:sz w:val="18"/>
              </w:rPr>
              <w:t>Sum over place of service</w:t>
            </w:r>
          </w:p>
        </w:tc>
      </w:tr>
      <w:tr>
        <w:tc>
          <w:tcPr>
            <w:tcW w:type="dxa" w:w="2880"/>
          </w:tcPr>
          <w:p>
            <w:r/>
            <w:r>
              <w:rPr>
                <w:sz w:val="18"/>
              </w:rPr>
              <w:t>procedures[].beneficiary_count</w:t>
            </w:r>
          </w:p>
        </w:tc>
        <w:tc>
          <w:tcPr>
            <w:tcW w:type="dxa" w:w="2880"/>
          </w:tcPr>
          <w:p>
            <w:r/>
            <w:r>
              <w:rPr>
                <w:sz w:val="18"/>
              </w:rPr>
              <w:t>Tot_Benes (Part B)</w:t>
            </w:r>
          </w:p>
        </w:tc>
        <w:tc>
          <w:tcPr>
            <w:tcW w:type="dxa" w:w="2880"/>
          </w:tcPr>
          <w:p>
            <w:r/>
            <w:r>
              <w:rPr>
                <w:sz w:val="18"/>
              </w:rPr>
              <w:t>Sum over place of service</w:t>
            </w:r>
          </w:p>
        </w:tc>
      </w:tr>
      <w:tr>
        <w:tc>
          <w:tcPr>
            <w:tcW w:type="dxa" w:w="2880"/>
          </w:tcPr>
          <w:p>
            <w:r/>
            <w:r>
              <w:rPr>
                <w:sz w:val="18"/>
              </w:rPr>
              <w:t>procedures[] facility/non-facility amounts</w:t>
            </w:r>
          </w:p>
        </w:tc>
        <w:tc>
          <w:tcPr>
            <w:tcW w:type="dxa" w:w="2880"/>
          </w:tcPr>
          <w:p>
            <w:r/>
            <w:r>
              <w:rPr>
                <w:sz w:val="18"/>
              </w:rPr>
              <w:t>Avg_Sbmtd_Chrg, Avg_Mdcr_Alowd_Amt, Avg_Mdcr_Pymt_Amt</w:t>
            </w:r>
          </w:p>
        </w:tc>
        <w:tc>
          <w:tcPr>
            <w:tcW w:type="dxa" w:w="2880"/>
          </w:tcPr>
          <w:p>
            <w:r/>
            <w:r>
              <w:rPr>
                <w:sz w:val="18"/>
              </w:rPr>
              <w:t>Carried separately per place of service</w:t>
            </w:r>
          </w:p>
        </w:tc>
      </w:tr>
      <w:tr>
        <w:tc>
          <w:tcPr>
            <w:tcW w:type="dxa" w:w="2880"/>
          </w:tcPr>
          <w:p>
            <w:r/>
            <w:r>
              <w:rPr>
                <w:sz w:val="18"/>
              </w:rPr>
              <w:t>drugs[].brand</w:t>
            </w:r>
          </w:p>
        </w:tc>
        <w:tc>
          <w:tcPr>
            <w:tcW w:type="dxa" w:w="2880"/>
          </w:tcPr>
          <w:p>
            <w:r/>
            <w:r>
              <w:rPr>
                <w:sz w:val="18"/>
              </w:rPr>
              <w:t>Brnd_Name</w:t>
            </w:r>
          </w:p>
        </w:tc>
        <w:tc>
          <w:tcPr>
            <w:tcW w:type="dxa" w:w="2880"/>
          </w:tcPr>
          <w:p>
            <w:r/>
            <w:r>
              <w:rPr>
                <w:sz w:val="18"/>
              </w:rPr>
              <w:t>Normalized; drug grain key</w:t>
            </w:r>
          </w:p>
        </w:tc>
      </w:tr>
      <w:tr>
        <w:tc>
          <w:tcPr>
            <w:tcW w:type="dxa" w:w="2880"/>
          </w:tcPr>
          <w:p>
            <w:r/>
            <w:r>
              <w:rPr>
                <w:sz w:val="18"/>
              </w:rPr>
              <w:t>drugs[].generic</w:t>
            </w:r>
          </w:p>
        </w:tc>
        <w:tc>
          <w:tcPr>
            <w:tcW w:type="dxa" w:w="2880"/>
          </w:tcPr>
          <w:p>
            <w:r/>
            <w:r>
              <w:rPr>
                <w:sz w:val="18"/>
              </w:rPr>
              <w:t>Gnrc_Name</w:t>
            </w:r>
          </w:p>
        </w:tc>
        <w:tc>
          <w:tcPr>
            <w:tcW w:type="dxa" w:w="2880"/>
          </w:tcPr>
          <w:p>
            <w:r/>
            <w:r>
              <w:rPr>
                <w:sz w:val="18"/>
              </w:rPr>
              <w:t>Carried as-is from the Part D row</w:t>
            </w:r>
          </w:p>
        </w:tc>
      </w:tr>
      <w:tr>
        <w:tc>
          <w:tcPr>
            <w:tcW w:type="dxa" w:w="2880"/>
          </w:tcPr>
          <w:p>
            <w:r/>
            <w:r>
              <w:rPr>
                <w:sz w:val="18"/>
              </w:rPr>
              <w:t>drugs[].molecule</w:t>
            </w:r>
          </w:p>
        </w:tc>
        <w:tc>
          <w:tcPr>
            <w:tcW w:type="dxa" w:w="2880"/>
          </w:tcPr>
          <w:p>
            <w:r/>
            <w:r>
              <w:rPr>
                <w:sz w:val="18"/>
              </w:rPr>
              <w:t>FDA molecule</w:t>
            </w:r>
          </w:p>
        </w:tc>
        <w:tc>
          <w:tcPr>
            <w:tcW w:type="dxa" w:w="2880"/>
          </w:tcPr>
          <w:p>
            <w:r/>
            <w:r>
              <w:rPr>
                <w:sz w:val="18"/>
              </w:rPr>
              <w:t>Attached via the brand inner join (required)</w:t>
            </w:r>
          </w:p>
        </w:tc>
      </w:tr>
      <w:tr>
        <w:tc>
          <w:tcPr>
            <w:tcW w:type="dxa" w:w="2880"/>
          </w:tcPr>
          <w:p>
            <w:r/>
            <w:r>
              <w:rPr>
                <w:sz w:val="18"/>
              </w:rPr>
              <w:t>drugs[].rxcui (ingredient set)</w:t>
            </w:r>
          </w:p>
        </w:tc>
        <w:tc>
          <w:tcPr>
            <w:tcW w:type="dxa" w:w="2880"/>
          </w:tcPr>
          <w:p>
            <w:r/>
            <w:r>
              <w:rPr>
                <w:sz w:val="18"/>
              </w:rPr>
              <w:t>FDA ingredient_rxcuis</w:t>
            </w:r>
          </w:p>
        </w:tc>
        <w:tc>
          <w:tcPr>
            <w:tcW w:type="dxa" w:w="2880"/>
          </w:tcPr>
          <w:p>
            <w:r/>
            <w:r>
              <w:rPr>
                <w:sz w:val="18"/>
              </w:rPr>
              <w:t>Attached via the brand inner join (required)</w:t>
            </w:r>
          </w:p>
        </w:tc>
      </w:tr>
      <w:tr>
        <w:tc>
          <w:tcPr>
            <w:tcW w:type="dxa" w:w="2880"/>
          </w:tcPr>
          <w:p>
            <w:r/>
            <w:r>
              <w:rPr>
                <w:sz w:val="18"/>
              </w:rPr>
              <w:t>drugs[].indications</w:t>
            </w:r>
          </w:p>
        </w:tc>
        <w:tc>
          <w:tcPr>
            <w:tcW w:type="dxa" w:w="2880"/>
          </w:tcPr>
          <w:p>
            <w:r/>
            <w:r>
              <w:rPr>
                <w:sz w:val="18"/>
              </w:rPr>
              <w:t>FDA indications</w:t>
            </w:r>
          </w:p>
        </w:tc>
        <w:tc>
          <w:tcPr>
            <w:tcW w:type="dxa" w:w="2880"/>
          </w:tcPr>
          <w:p>
            <w:r/>
            <w:r>
              <w:rPr>
                <w:sz w:val="18"/>
              </w:rPr>
              <w:t>Union across the brand's labels, deduped by normalized text</w:t>
            </w:r>
          </w:p>
        </w:tc>
      </w:tr>
      <w:tr>
        <w:tc>
          <w:tcPr>
            <w:tcW w:type="dxa" w:w="2880"/>
          </w:tcPr>
          <w:p>
            <w:r/>
            <w:r>
              <w:rPr>
                <w:sz w:val="18"/>
              </w:rPr>
              <w:t>drugs[].total_claims</w:t>
            </w:r>
          </w:p>
        </w:tc>
        <w:tc>
          <w:tcPr>
            <w:tcW w:type="dxa" w:w="2880"/>
          </w:tcPr>
          <w:p>
            <w:r/>
            <w:r>
              <w:rPr>
                <w:sz w:val="18"/>
              </w:rPr>
              <w:t>Tot_Clms</w:t>
            </w:r>
          </w:p>
        </w:tc>
        <w:tc>
          <w:tcPr>
            <w:tcW w:type="dxa" w:w="2880"/>
          </w:tcPr>
          <w:p>
            <w:r/>
            <w:r>
              <w:rPr>
                <w:sz w:val="18"/>
              </w:rPr>
              <w:t>Sum over brand</w:t>
            </w:r>
          </w:p>
        </w:tc>
      </w:tr>
      <w:tr>
        <w:tc>
          <w:tcPr>
            <w:tcW w:type="dxa" w:w="2880"/>
          </w:tcPr>
          <w:p>
            <w:r/>
            <w:r>
              <w:rPr>
                <w:sz w:val="18"/>
              </w:rPr>
              <w:t>drugs[].days_supply</w:t>
            </w:r>
          </w:p>
        </w:tc>
        <w:tc>
          <w:tcPr>
            <w:tcW w:type="dxa" w:w="2880"/>
          </w:tcPr>
          <w:p>
            <w:r/>
            <w:r>
              <w:rPr>
                <w:sz w:val="18"/>
              </w:rPr>
              <w:t>Tot_Day_Suply</w:t>
            </w:r>
          </w:p>
        </w:tc>
        <w:tc>
          <w:tcPr>
            <w:tcW w:type="dxa" w:w="2880"/>
          </w:tcPr>
          <w:p>
            <w:r/>
            <w:r>
              <w:rPr>
                <w:sz w:val="18"/>
              </w:rPr>
              <w:t>Sum over brand</w:t>
            </w:r>
          </w:p>
        </w:tc>
      </w:tr>
      <w:tr>
        <w:tc>
          <w:tcPr>
            <w:tcW w:type="dxa" w:w="2880"/>
          </w:tcPr>
          <w:p>
            <w:r/>
            <w:r>
              <w:rPr>
                <w:sz w:val="18"/>
              </w:rPr>
              <w:t>drugs[].beneficiary_count</w:t>
            </w:r>
          </w:p>
        </w:tc>
        <w:tc>
          <w:tcPr>
            <w:tcW w:type="dxa" w:w="2880"/>
          </w:tcPr>
          <w:p>
            <w:r/>
            <w:r>
              <w:rPr>
                <w:sz w:val="18"/>
              </w:rPr>
              <w:t>Tot_Benes (Part D)</w:t>
            </w:r>
          </w:p>
        </w:tc>
        <w:tc>
          <w:tcPr>
            <w:tcW w:type="dxa" w:w="2880"/>
          </w:tcPr>
          <w:p>
            <w:r/>
            <w:r>
              <w:rPr>
                <w:sz w:val="18"/>
              </w:rPr>
              <w:t>Sum over brand</w:t>
            </w:r>
          </w:p>
        </w:tc>
      </w:tr>
      <w:tr>
        <w:tc>
          <w:tcPr>
            <w:tcW w:type="dxa" w:w="2880"/>
          </w:tcPr>
          <w:p>
            <w:r/>
            <w:r>
              <w:rPr>
                <w:sz w:val="18"/>
              </w:rPr>
              <w:t>drugs[].total_drug_cost</w:t>
            </w:r>
          </w:p>
        </w:tc>
        <w:tc>
          <w:tcPr>
            <w:tcW w:type="dxa" w:w="2880"/>
          </w:tcPr>
          <w:p>
            <w:r/>
            <w:r>
              <w:rPr>
                <w:sz w:val="18"/>
              </w:rPr>
              <w:t>Tot_Drug_Cst</w:t>
            </w:r>
          </w:p>
        </w:tc>
        <w:tc>
          <w:tcPr>
            <w:tcW w:type="dxa" w:w="2880"/>
          </w:tcPr>
          <w:p>
            <w:r/>
            <w:r>
              <w:rPr>
                <w:sz w:val="18"/>
              </w:rPr>
              <w:t>Sum over brand</w:t>
            </w:r>
          </w:p>
        </w:tc>
      </w:tr>
    </w:tbl>
    <w:p>
      <w:pPr>
        <w:pStyle w:val="Heading1"/>
      </w:pPr>
      <w:r>
        <w:t>6. The Join Rules</w:t>
      </w:r>
    </w:p>
    <w:p>
      <w:pPr>
        <w:pStyle w:val="Heading2"/>
      </w:pPr>
      <w:r>
        <w:t>6.1 Provider join by NPI</w:t>
      </w:r>
    </w:p>
    <w:p>
      <w:r>
        <w:t>The Provider collection is keyed by NPI. Part B and Part D rows attach to a provider record by NPI directly. State is permitted only as a fan-out / parallelism dimension and is never the join key.</w:t>
      </w:r>
    </w:p>
    <w:p>
      <w:r>
        <w:t>This replaces the superseded behavior in which the build filtered Part B and Part D by the CMS state column and iterated the Provider spine by business-mailing-address state, matching on NPI only within the same state bucket. Those are two different definitions of state — the CMS column is the NPPES-located state, while the Provider spine partitions by mailing-address state — so for any NPI whose CMS state differed from its mailing state, two defects resulted at once: its procedures and drugs never attached (the record came out empty), and it was falsely counted as not found in the Provider collection. Joining on NPI directly removes both defects.</w:t>
      </w:r>
    </w:p>
    <w:p>
      <w:r>
        <w:t>The provider source is named explicitly for the run as a fully-qualified cluster.db.collection argument (providerCollection), validated at the start of the run, because the built collections version independently of the Provider collection they join against.</w:t>
      </w:r>
    </w:p>
    <w:p>
      <w:pPr>
        <w:pStyle w:val="Heading2"/>
      </w:pPr>
      <w:r>
        <w:t>6.2 Drug join by normalized brand — an inner join</w:t>
      </w:r>
    </w:p>
    <w:p>
      <w:r>
        <w:t>A provider's candidate drug entry obtains its molecule, RxNorm ingredient codes, and indications by joining its normalized brand key (Section 5.2) to the aggregated FDA reference record for the same normalized brand (Section 4.3). This is the only join available, because Part D carries no code; the FDA collection is the side that carries the code, and the brand name is the bridge.</w:t>
      </w:r>
    </w:p>
    <w:p>
      <w:r>
        <w:t>The join is an inner join. A CMS Part D brand that finds no match in the Rx-filtered FDA brand set is discarded — the candidate drug record is not carried into the composed collection. The composed drug collection therefore contains only drugs that resolve to a molecule and indications; it carries no drug that could not be mapped. Discards are not silent: each discard is counted and surfaced as a discrepancy carrying the count and the discarded brand, under the drug-attribute finding class (Section 8.2).</w:t>
      </w:r>
    </w:p>
    <w:p>
      <w:r>
        <w:t>The discard rule is correct only against the complete FDA collection. When the FDA collection is complete, a non-match means the drug genuinely is not a resolvable human prescription drug and is rightly dropped. Against the partial 1,731-document build a non-match instead means the FDA side is missing that brand, and the same discard would drop roughly 87% of CMS drug records; the rule therefore presumes the full-partition rebuild (Section 4.5) and must not run against a partial build.</w:t>
      </w:r>
    </w:p>
    <w:p>
      <w:pPr>
        <w:pStyle w:val="Heading1"/>
      </w:pPr>
      <w:r>
        <w:t>7. Indexing the Composed Collection</w:t>
      </w:r>
    </w:p>
    <w:p>
      <w:r>
        <w:t>After the join, the composed drug entry is the only place where the RxNorm code, the brand, the NPI, and the generic name all coexist — the code comes from the FDA side, the brand and generic from the CMS side, and the NPI from the provider spine. ProviderMedicare is therefore indexed on (rxCode, brand, NPI, generic) so a consumer can reach a provider's drugs by any of those four surfaces: by RxNorm code, by brand, by prescribing NPI, or by generic name.</w:t>
      </w:r>
    </w:p>
    <w:p>
      <w:pPr>
        <w:pStyle w:val="Heading1"/>
      </w:pPr>
      <w:r>
        <w:t>8. Findings</w:t>
      </w:r>
    </w:p>
    <w:p>
      <w:pPr>
        <w:pStyle w:val="Heading2"/>
      </w:pPr>
      <w:r>
        <w:t>8.1 NPI not found in Providers — de-duped per NPI</w:t>
      </w:r>
    </w:p>
    <w:p>
      <w:r>
        <w:t>A billed or prescribing NPI absent from the Provider collection is one finding, counted once per distinct NPI regardless of how many drugs, procedures or source rows that NPI spans. The build computes the distinct set of billed and prescribing NPIs — the union across Part B and Part D — subtracts those present in the Provider collection, and records one finding per remaining NPI, with the finding's record_key set to that NPI. The finding class is FDA_NPI_not_found_In_Providers. Because it is a ProviderMedicare finding, it is rendered under the ProviderMedicare section of the discrepancy report.</w:t>
      </w:r>
    </w:p>
    <w:p>
      <w:r>
        <w:t>This replaces the superseded per-state finding, which recorded one aggregate count per state and double-counted an NPI across every row it appeared on.</w:t>
      </w:r>
    </w:p>
    <w:p>
      <w:pPr>
        <w:pStyle w:val="Heading2"/>
      </w:pPr>
      <w:r>
        <w:t>8.2 Drug-attribute resolution failures and inner-join discards — collapsed</w:t>
      </w:r>
    </w:p>
    <w:p>
      <w:r>
        <w:t>The drug-attribute problems collapse into one catch-all class, FDA_all_other_Attribute_failures, rather than separate classes per cause. It covers the inner-join discard — a CMS Part D brand with no matching FDA reference record, whose candidate drug record is dropped from the composed collection — and an FDA reference record that is itself incomplete. Each discard is counted and surfaced as a discrepancy carrying the count and the discarded brand, so the dropped population is visible rather than lost silently. Consistent with the firm's no-fallback rule, an unresolved drug attribute is never defaulted or inferred: the drug is discarded and recorded, not carried with a guessed molecule.</w:t>
      </w:r>
    </w:p>
    <w:p>
      <w:pPr>
        <w:pStyle w:val="Heading2"/>
      </w:pPr>
      <w:r>
        <w:t>8.3 Finding configuration (persistent, never hard-coded)</w:t>
      </w:r>
    </w:p>
    <w:p>
      <w:r>
        <w:t>The two classes and their limits live in the pipeline's persistent configuration (pipeline_config.json), scoped to this pipeline and unique to it. On the first run both classes default to the values below. The limits are per error type.</w:t>
      </w:r>
    </w:p>
    <w:p>
      <w:r>
        <w:rPr>
          <w:i/>
          <w:color w:val="555555"/>
          <w:sz w:val="16"/>
        </w:rPr>
        <w:t>Table 8.3 — First-run defaults. fatal_at_count aborts the run when the running count for a class reaches it; report_display_cap bounds how many individual findings of a class the report enumerates before summarizing.</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160"/>
            <w:shd w:val="clear" w:color="auto" w:fill="1F3A5F"/>
          </w:tcPr>
          <w:p>
            <w:r/>
            <w:r>
              <w:rPr>
                <w:b/>
                <w:color w:val="FFFFFF"/>
                <w:sz w:val="18"/>
              </w:rPr>
              <w:t>Finding class</w:t>
            </w:r>
          </w:p>
        </w:tc>
        <w:tc>
          <w:tcPr>
            <w:tcW w:type="dxa" w:w="2160"/>
            <w:shd w:val="clear" w:color="auto" w:fill="1F3A5F"/>
          </w:tcPr>
          <w:p>
            <w:r/>
            <w:r>
              <w:rPr>
                <w:b/>
                <w:color w:val="FFFFFF"/>
                <w:sz w:val="18"/>
              </w:rPr>
              <w:t>severity</w:t>
            </w:r>
          </w:p>
        </w:tc>
        <w:tc>
          <w:tcPr>
            <w:tcW w:type="dxa" w:w="2160"/>
            <w:shd w:val="clear" w:color="auto" w:fill="1F3A5F"/>
          </w:tcPr>
          <w:p>
            <w:r/>
            <w:r>
              <w:rPr>
                <w:b/>
                <w:color w:val="FFFFFF"/>
                <w:sz w:val="18"/>
              </w:rPr>
              <w:t>fatal_at_count</w:t>
            </w:r>
          </w:p>
        </w:tc>
        <w:tc>
          <w:tcPr>
            <w:tcW w:type="dxa" w:w="2160"/>
            <w:shd w:val="clear" w:color="auto" w:fill="1F3A5F"/>
          </w:tcPr>
          <w:p>
            <w:r/>
            <w:r>
              <w:rPr>
                <w:b/>
                <w:color w:val="FFFFFF"/>
                <w:sz w:val="18"/>
              </w:rPr>
              <w:t>report_display_cap</w:t>
            </w:r>
          </w:p>
        </w:tc>
      </w:tr>
      <w:tr>
        <w:tc>
          <w:tcPr>
            <w:tcW w:type="dxa" w:w="2160"/>
          </w:tcPr>
          <w:p>
            <w:r/>
            <w:r>
              <w:rPr>
                <w:sz w:val="18"/>
              </w:rPr>
              <w:t>FDA_NPI_not_found_In_Providers</w:t>
            </w:r>
          </w:p>
        </w:tc>
        <w:tc>
          <w:tcPr>
            <w:tcW w:type="dxa" w:w="2160"/>
          </w:tcPr>
          <w:p>
            <w:r/>
            <w:r>
              <w:rPr>
                <w:sz w:val="18"/>
              </w:rPr>
              <w:t>error</w:t>
            </w:r>
          </w:p>
        </w:tc>
        <w:tc>
          <w:tcPr>
            <w:tcW w:type="dxa" w:w="2160"/>
          </w:tcPr>
          <w:p>
            <w:r/>
            <w:r>
              <w:rPr>
                <w:sz w:val="18"/>
              </w:rPr>
              <w:t>1,200,000</w:t>
            </w:r>
          </w:p>
        </w:tc>
        <w:tc>
          <w:tcPr>
            <w:tcW w:type="dxa" w:w="2160"/>
          </w:tcPr>
          <w:p>
            <w:r/>
            <w:r>
              <w:rPr>
                <w:sz w:val="18"/>
              </w:rPr>
              <w:t>25</w:t>
            </w:r>
          </w:p>
        </w:tc>
      </w:tr>
      <w:tr>
        <w:tc>
          <w:tcPr>
            <w:tcW w:type="dxa" w:w="2160"/>
          </w:tcPr>
          <w:p>
            <w:r/>
            <w:r>
              <w:rPr>
                <w:sz w:val="18"/>
              </w:rPr>
              <w:t>FDA_all_other_Attribute_failures</w:t>
            </w:r>
          </w:p>
        </w:tc>
        <w:tc>
          <w:tcPr>
            <w:tcW w:type="dxa" w:w="2160"/>
          </w:tcPr>
          <w:p>
            <w:r/>
            <w:r>
              <w:rPr>
                <w:sz w:val="18"/>
              </w:rPr>
              <w:t>error</w:t>
            </w:r>
          </w:p>
        </w:tc>
        <w:tc>
          <w:tcPr>
            <w:tcW w:type="dxa" w:w="2160"/>
          </w:tcPr>
          <w:p>
            <w:r/>
            <w:r>
              <w:rPr>
                <w:sz w:val="18"/>
              </w:rPr>
              <w:t>1,200,000</w:t>
            </w:r>
          </w:p>
        </w:tc>
        <w:tc>
          <w:tcPr>
            <w:tcW w:type="dxa" w:w="2160"/>
          </w:tcPr>
          <w:p>
            <w:r/>
            <w:r>
              <w:rPr>
                <w:sz w:val="18"/>
              </w:rPr>
              <w:t>25</w:t>
            </w:r>
          </w:p>
        </w:tc>
      </w:tr>
    </w:tbl>
    <w:p>
      <w:pPr>
        <w:pStyle w:val="Heading1"/>
      </w:pPr>
      <w:r>
        <w:t>9. Engineering Decisions Flagged for Review</w:t>
      </w:r>
    </w:p>
    <w:p>
      <w:r>
        <w:t>The following are defensible engineering calls rather than externally specified requirements, recorded here so they can be reviewed and, if desired, changed.</w:t>
      </w:r>
    </w:p>
    <w:p>
      <w:pPr>
        <w:pStyle w:val="ListBullet"/>
      </w:pPr>
      <w:r>
        <w:t>Drug grain: the drug entry is grained to the normalized brand name, because Part D carries no drug code; molecule and RxNorm ingredient codes are attributes attached by the brand join, not grain keys.</w:t>
      </w:r>
    </w:p>
    <w:p>
      <w:pPr>
        <w:pStyle w:val="ListBullet"/>
      </w:pPr>
      <w:r>
        <w:t>Inner join / discard: the CMS→FDA brand join is an inner join; a CMS drug with no FDA match is discarded (counted and reported, not carried), so the composed collection holds only drugs mappable to a molecule and indications. This presumes the complete FDA collection.</w:t>
      </w:r>
    </w:p>
    <w:p>
      <w:pPr>
        <w:pStyle w:val="ListBullet"/>
      </w:pPr>
      <w:r>
        <w:t>One brand → one molecule: a normalized brand is treated as resolving to exactly one molecule and one RxNorm ingredient set, justified by the live-data finding that the only multi-molecule brands are salt-spelling variants.</w:t>
      </w:r>
    </w:p>
    <w:p>
      <w:pPr>
        <w:pStyle w:val="ListBullet"/>
      </w:pPr>
      <w:r>
        <w:t>Brand normalization: reconcile brand spellings with plain string operations only (uppercase/strip, hyphen-combo reconciliation, salt-suffix and form-suffix stripping where they block a match), kept conservative and data-driven; no regular expressions, per the engineering rules.</w:t>
      </w:r>
    </w:p>
    <w:p>
      <w:pPr>
        <w:pStyle w:val="ListBullet"/>
      </w:pPr>
      <w:r>
        <w:t>Indications: carry the union of indications across all FDA labels under a brand, deduplicated by normalized indication text.</w:t>
      </w:r>
    </w:p>
    <w:p>
      <w:pPr>
        <w:pStyle w:val="ListBullet"/>
      </w:pPr>
      <w:r>
        <w:t>Drug measures: SUM Tot_Clms, Tot_Day_Suply, Tot_Benes and Tot_Drug_Cst across the provider's rows for one normalized brand.</w:t>
      </w:r>
    </w:p>
    <w:p>
      <w:pPr>
        <w:pStyle w:val="ListBullet"/>
      </w:pPr>
      <w:r>
        <w:t>Procedure measures: SUM Tot_Srvcs and Tot_Benes across the two place-of-service rows; carry the facility and non-facility dollar amounts separately rather than averaging them.</w:t>
      </w:r>
    </w:p>
    <w:p>
      <w:pPr>
        <w:pStyle w:val="ListBullet"/>
      </w:pPr>
      <w:r>
        <w:t>Index: index the composed collection on (rxCode, brand, NPI, generic) — the only place all four coexist after the join.</w:t>
      </w:r>
    </w:p>
    <w:p>
      <w:pPr>
        <w:pStyle w:val="ListBullet"/>
      </w:pPr>
      <w:r>
        <w:t>Report placement: the NPI-not-found finding is rendered under the ProviderMedicare section of the discrepancy report, under the class name FDA_NPI_not_found_In_Providers.</w:t>
      </w:r>
    </w:p>
    <w:p>
      <w:pPr>
        <w:pStyle w:val="Heading1"/>
      </w:pPr>
      <w:r>
        <w:t>10. Unit Testing Approach</w:t>
      </w:r>
    </w:p>
    <w:p>
      <w:r>
        <w:t>The normalization and aggregation logic is structured as pure functions over row data — input: lists of raw CMS row dicts (and aggregated FDA reference records); output: grained records — and unit-tested in memory with sufficient fake rows. MongoDB is never mocked; there is no mongomock and there are no database stubs. No database participates in the unit tests.</w:t>
      </w:r>
    </w:p>
    <w:p>
      <w:r>
        <w:t>The tests prove the following properties:</w:t>
      </w:r>
    </w:p>
    <w:p>
      <w:pPr>
        <w:pStyle w:val="ListBullet"/>
      </w:pPr>
      <w:r>
        <w:t>Place-of-service collapse: facility and non-facility rows for one HCPCS produce exactly one procedures[] entry per (HCPCS, NPI), with service and beneficiary counts summed and both fee-schedule amounts carried.</w:t>
      </w:r>
    </w:p>
    <w:p>
      <w:pPr>
        <w:pStyle w:val="ListBullet"/>
      </w:pPr>
      <w:r>
        <w:t>Brand collapse: many Part D rows for one provider and one normalized brand produce exactly one drugs[] entry per (brand, NPI), with measures summed.</w:t>
      </w:r>
    </w:p>
    <w:p>
      <w:pPr>
        <w:pStyle w:val="ListBullet"/>
      </w:pPr>
      <w:r>
        <w:t>Brand normalization: salt-suffix, form-suffix, and hyphen-combo variants normalize to the same key on both the CMS and FDA sides, and two genuinely distinct brands never collapse together.</w:t>
      </w:r>
    </w:p>
    <w:p>
      <w:pPr>
        <w:pStyle w:val="ListBullet"/>
      </w:pPr>
      <w:r>
        <w:t>Inner-join discard: a CMS brand with no FDA match produces no drug entry and exactly one counted discard finding carrying that brand.</w:t>
      </w:r>
    </w:p>
    <w:p>
      <w:pPr>
        <w:pStyle w:val="ListBullet"/>
      </w:pPr>
      <w:r>
        <w:t>FDA aggregation: many label documents under one brand aggregate to one reference record carrying one molecule, one RxNorm ingredient set, and the deduplicated union of indications.</w:t>
      </w:r>
    </w:p>
    <w:p>
      <w:pPr>
        <w:pStyle w:val="ListBullet"/>
      </w:pPr>
      <w:r>
        <w:t>Indication dedup: phrasing variants of one indication collapse to a single indication on the aggregated brand record.</w:t>
      </w:r>
    </w:p>
    <w:p>
      <w:pPr>
        <w:pStyle w:val="ListBullet"/>
      </w:pPr>
      <w:r>
        <w:t>Distinct-NPI de-dup: one NPI appearing across many rows yields exactly one not-found finding.</w:t>
      </w:r>
    </w:p>
    <w:p>
      <w:pPr>
        <w:pStyle w:val="ListBullet"/>
      </w:pPr>
      <w:r>
        <w:t>Specialty rollup: the (HCPCS, NUCC) and (Brand, NUCC) grains are produced correctly across providers of a specialty.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