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45</w:t>
      </w:r>
      <w:r w:rsidR="00C300BE">
        <w:t>.a</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FrontEndApplicationLib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ClaudeCode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ClaudeCode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primary_practice_address</w:t>
      </w:r>
      <w:r>
        <w:t xml:space="preserve"> — </w:t>
      </w:r>
      <w:r>
        <w:rPr>
          <w:rFonts w:ascii="Consolas" w:hAnsi="Consolas"/>
        </w:rPr>
        <w:t>address_type="primary_practice"</w:t>
      </w:r>
      <w:r>
        <w:t xml:space="preserve">, </w:t>
      </w:r>
      <w:r>
        <w:rPr>
          <w:rFonts w:ascii="Consolas" w:hAnsi="Consolas"/>
        </w:rPr>
        <w:t>primary=true</w:t>
      </w:r>
      <w:r>
        <w:t>, with all address fields (line1, line2, city, state, postal_code, country_code, phone, fax)</w:t>
      </w:r>
    </w:p>
    <w:p w14:paraId="401111E2" w14:textId="77777777" w:rsidR="00DB6305" w:rsidRDefault="00544B8B">
      <w:pPr>
        <w:pStyle w:val="ListBullet"/>
      </w:pPr>
      <w:r>
        <w:rPr>
          <w:rFonts w:ascii="Consolas" w:hAnsi="Consolas"/>
        </w:rPr>
        <w:t>mailing_address</w:t>
      </w:r>
      <w:r>
        <w:t xml:space="preserve"> — </w:t>
      </w:r>
      <w:r>
        <w:rPr>
          <w:rFonts w:ascii="Consolas" w:hAnsi="Consolas"/>
        </w:rPr>
        <w:t>address_type="mailing"</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primary_practice_address.state_label</w:t>
      </w:r>
      <w:r>
        <w:t xml:space="preserve">, </w:t>
      </w:r>
      <w:r>
        <w:rPr>
          <w:rFonts w:ascii="Consolas" w:hAnsi="Consolas"/>
        </w:rPr>
        <w:t>primary_practice_address.country_code_label</w:t>
      </w:r>
    </w:p>
    <w:p w14:paraId="01296409" w14:textId="77777777" w:rsidR="00DB6305" w:rsidRDefault="00544B8B">
      <w:r>
        <w:t xml:space="preserve">  - </w:t>
      </w:r>
      <w:r>
        <w:rPr>
          <w:rFonts w:ascii="Consolas" w:hAnsi="Consolas"/>
        </w:rPr>
        <w:t>mailing_address.state_label</w:t>
      </w:r>
      <w:r>
        <w:t xml:space="preserve">, </w:t>
      </w:r>
      <w:r>
        <w:rPr>
          <w:rFonts w:ascii="Consolas" w:hAnsi="Consolas"/>
        </w:rPr>
        <w:t>mailing_address.country_code_label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addresses[0].state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flag (RETIRED 2026-07-30)</w:t>
      </w:r>
    </w:p>
    <w:p w14:paraId="193541E1" w14:textId="77777777" w:rsidR="00157A90" w:rsidRDefault="00544B8B">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p>
    <w:p w14:paraId="2B2D07EA" w14:textId="77777777" w:rsidR="00157A90" w:rsidRDefault="00544B8B">
      <w:r>
        <w:rPr>
          <w:b/>
        </w:rPr>
        <w:t>REQ anchors. EPIC-010-F-103-S-005-REQ-B-001, REQ-B-002 (semantics now delivered by county_enrichment).</w:t>
      </w:r>
    </w:p>
    <w:p w14:paraId="7995782B" w14:textId="77777777" w:rsidR="00157A90" w:rsidRDefault="00544B8B">
      <w:r>
        <w:rPr>
          <w:b/>
        </w:rPr>
        <w:t>Fan-out. n/a - step deleted from orchestrator STEPS.</w:t>
      </w:r>
    </w:p>
    <w:p w14:paraId="762FF37E" w14:textId="77777777" w:rsidR="00157A90" w:rsidRDefault="00544B8B">
      <w:r>
        <w:rPr>
          <w:b/>
        </w:rPr>
        <w:t>Sub-steps. n/a - see §5.2.14 for RUCC lookup path.</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t xml:space="preserve"> Worker joins each individual's primary taxonomy code to </w:t>
      </w:r>
      <w:r>
        <w:rPr>
          <w:rFonts w:ascii="Consolas" w:hAnsi="Consolas"/>
        </w:rPr>
        <w:t>pipeline_sources_specialty_catalog</w:t>
      </w:r>
      <w:r>
        <w:t xml:space="preserve">; stamps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addresses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