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r>
        <w:rPr>
          <w:color w:val="FF0000"/>
        </w:rPr>
        <w:t>Version: 69</w:t>
      </w:r>
    </w:p>
    <w:p w14:paraId="19F22DE9" w14:textId="77777777" w:rsidR="00157A90" w:rsidRPr="00C84B19" w:rsidRDefault="00544B8B">
      <w:pPr>
        <w:jc w:val="center"/>
      </w:pPr>
      <w:r w:rsidRPr="00C84B19"/>
      <w:r>
        <w:rPr>
          <w:color w:val="FF0000"/>
        </w:rPr>
        <w:t>Date: 2026-10-09</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 xml:space="preserve">III.5. </w:t>
      </w:r>
      <w:r>
        <w:rPr>
          <w:noProof/>
          <w:color w:val="008000"/>
        </w:rPr>
        <w:t>fdaProductToDiagnosisResolution</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rPr>
        <w:t>Figure — Allocating hardware and PIDs at runtime (build &amp; use).</w:t>
      </w:r>
    </w:p>
    <w:p w14:paraId="2B0F6C7F" w14:textId="78895BF7" w:rsidR="00157A90" w:rsidRPr="006A77DD" w:rsidRDefault="00544B8B">
      <w:pPr>
        <w:rPr>
          <w:strike/>
        </w:rPr>
      </w:pPr>
      <w:r>
        <w:rP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rPr/>
        <w:t xml:space="preserve">&lt;/ Skip: </w:t>
      </w:r>
      <w:r w:rsidR="006A77DD">
        <w:rPr/>
        <w:t xml:space="preserve">Please no process rhetoric&gt; </w:t>
      </w:r>
    </w:p>
    <w:p w14:paraId="09C21630" w14:textId="77777777" w:rsidR="00B04D46" w:rsidRDefault="00000000">
      <w:pPr>
        <w:pStyle w:val="Heading4"/>
      </w:pPr>
      <w:r>
        <w:rPr/>
        <w:lastRenderedPageBreak/>
        <w:t>(a) Hardware allocation</w:t>
      </w:r>
    </w:p>
    <w:p w14:paraId="75D9DEF0" w14:textId="4F6A614C" w:rsidR="00B04D46" w:rsidRDefault="00000000">
      <w:r>
        <w:rPr/>
        <w:t xml:space="preserve">One common function — </w:t>
      </w:r>
      <w:proofErr w:type="gramStart"/>
      <w:r>
        <w:rPr/>
        <w:t>allocate(</w:t>
      </w:r>
      <w:proofErr w:type="gramEnd"/>
      <w:r>
        <w:rPr/>
        <w:t xml:space="preserve">count, </w:t>
      </w:r>
      <w:r w:rsidR="006A77DD">
        <w:rPr/>
        <w:t>[</w:t>
      </w:r>
      <w:proofErr w:type="spellStart"/>
      <w:r>
        <w:rPr/>
        <w:t>sku</w:t>
      </w:r>
      <w:proofErr w:type="spellEnd"/>
      <w:r>
        <w:rPr/>
        <w:t>, image</w:t>
      </w:r>
      <w:r w:rsidR="006A77DD">
        <w:rPr/>
        <w:t>, name</w:t>
      </w:r>
      <w:proofErr w:type="gramStart"/>
      <w:r w:rsidR="006A77DD">
        <w:rPr/>
        <w:t>]</w:t>
      </w:r>
      <w:r>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t xml:space="preserve">  </w:t>
      </w:r>
      <w:r>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t>(b) Process creation and management</w:t>
      </w:r>
    </w:p>
    <w:p w14:paraId="44708C78" w14:textId="77777777" w:rsidR="00157A90" w:rsidRDefault="00544B8B">
      <w:r>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pPr>
        <w:pStyle w:val="Heading3"/>
      </w:pPr>
      <w:r>
        <w:rPr>
          <w:color w:val="008000"/>
        </w:rPr>
        <w:t>I.3.4a Record-range fan-out at production scale</w:t>
      </w:r>
    </w:p>
    <w:p>
      <w:pPr/>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pPr>
        <w:pStyle w:val="ListBullet"/>
      </w:pPr>
      <w:r>
        <w:rPr>
          <w:color w:val="008000"/>
        </w:rPr>
        <w:t>Index up front. A single-field index on record_number is created at collection creation, before any worker runs, so each worker reads its slice as an index-covered range rather than a collection scan.</w:t>
      </w:r>
    </w:p>
    <w:p>
      <w:pPr>
        <w:pStyle w:val="ListBullet"/>
      </w:pPr>
      <w:r>
        <w:rPr>
          <w:color w:val="008000"/>
        </w:rPr>
        <w:t>Range partition. The N records are divided into W contiguous ranges of ceil(N/W) each; worker i claims [ i*ceil(N/W), (i+1)*ceil(N/W) ) by record_number. Equal-size, deterministic, gap-free, non-overlapping.</w:t>
      </w:r>
    </w:p>
    <w:p>
      <w:pPr>
        <w:pStyle w:val="ListBullet"/>
      </w:pPr>
      <w:r>
        <w:rPr>
          <w:color w:val="008000"/>
        </w:rPr>
        <w:t>Each worker reads its range (indexed), runs each record through the tool (resolve -&gt; crosswalk -&gt; assemble), and writes results keyed by the record natural key. Ranges are disjoint, so workers never collide.</w:t>
      </w:r>
    </w:p>
    <w:p>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pPr/>
      <w:r>
        <w:rPr>
          <w:color w:val="008000"/>
        </w:rPr>
        <w:t>Execution model (process_pool). The record-range fan-out runs under the process_pool executor as one worker PROCESS per record-number range — not threads. Each range is owned by a distinct OS process so the per-record build work runs with its own interpreter and its own loaded catalog, with no shared-memory contention or GIL serialization across ranges. The default is 100 worker processes. Because every process loads its own copy of the catalog (the ICD-10 / indication reference it holds resident), the practical ceiling is box-bound: the worker count is sized to the worker VM, not raised arbitrarily, since each additional process costs another resident catalog in memory. Whether a step builds or consumes is gated by the run argument (the build-or-consume gate of §I.3.2 / §I.4.1): a consume run reads the current published collection, a build run fans the records across the worker processes and produces a candidate.</w:t>
      </w:r>
    </w:p>
    <w:p>
      <w:pPr/>
      <w:r>
        <w:rPr>
          <w:color w:val="008000"/>
        </w:rPr>
        <w:t>Controller / worker hardware is configurable per pipeline. The current worker default is a 32-vCPU box (Standard_D32s_v6); a 64-vCPU box is not yet entitled for the subscription, so the worker-process count is held to what the 32-vCPU worker box can carry.</w:t>
      </w:r>
    </w:p>
    <w:p>
      <w:pPr>
        <w:pStyle w:val="Heading3"/>
      </w:pPr>
      <w:r>
        <w:rPr>
          <w:color w:val="008000"/>
        </w:rPr>
        <w:t>I.3.4b Build scope - prescription drugs only (NormalizedIndicationMap)</w:t>
      </w:r>
    </w:p>
    <w:p>
      <w:pPr/>
      <w:r>
        <w:rPr>
          <w:color w:val="008000"/>
        </w:rPr>
        <w:t>For the NormalizedIndicationMap build, the map codes PRESCRIPTION drugs only. OTC medicines are staged like every other label but are EXCLUDED from the map, discriminated by openfda.product_type ("HUMAN OTC DRUG" vs "HUMAN PRESCRIPTION DRUG"). OTC actives - menthol, white petrolatum, topical lidocaine, bisacodyl and the like - carry no distinct codeable disease indication, so coding them adds noise rather than signal and inflates the uncodeable residue. Staging stays complete (every label is landed); only the map target collection is scoped to prescription drugs. This is an operator policy, additive and backward-compatible.</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 xml:space="preserve">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w:t>
      </w:r>
      <w:r>
        <w:rPr>
          <w:color w:val="008000"/>
        </w:rPr>
        <w:t>The fdaProductToDiagnosisResolution</w:t>
      </w:r>
      <w:r>
        <w:t xml:space="preserve">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 xml:space="preserve">Medicare — logical (normalized) data model. Three public collections: ProviderMedicare, SpecialtyMedicare, </w:t>
      </w:r>
      <w:r>
        <w:rPr>
          <w:i/>
          <w:color w:val="008000"/>
          <w:sz w:val="18"/>
        </w:rPr>
        <w:t>fdaProductToDiagnosisResolution</w:t>
      </w:r>
      <w:r>
        <w:rPr>
          <w:i/>
          <w:sz w:val="18"/>
        </w:rPr>
        <w:t>.</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r>
        <w:rPr>
          <w:color w:val="008000"/>
        </w:rPr>
        <w:t>fdaProductToDiagnosisResolution</w:t>
      </w:r>
      <w:r>
        <w:t xml:space="preserve">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pPr>
        <w:pStyle w:val="Heading3"/>
      </w:pPr>
      <w:r>
        <w:rPr>
          <w:color w:val="008000"/>
        </w:rPr>
        <w:t>III.2.4 Published Collections — Record Contracts</w:t>
      </w:r>
    </w:p>
    <w:p>
      <w:pPr/>
      <w:r>
        <w:rPr>
          <w:color w:val="008000"/>
        </w:rPr>
        <w:t>This feature (EPIC-010-F-007) publishes three front-end collections. Each is documented below with its role and its normative record contract, rendered faithfully from the JSON Schema that governs it under Website/schemas. Required-ness and types are taken verbatim from the schema; array-of-object members are shown with [] notation (e.g. indications[].codes[].level).</w:t>
      </w:r>
    </w:p>
    <w:p>
      <w:pPr>
        <w:pStyle w:val="Heading4"/>
      </w:pPr>
      <w:r>
        <w:rPr>
          <w:color w:val="008000"/>
        </w:rPr>
        <w:t>fdaProductToDiagnosisResolution</w:t>
      </w:r>
    </w:p>
    <w:p>
      <w:pPr/>
      <w:r>
        <w:rPr>
          <w:color w:val="008000"/>
        </w:rPr>
        <w:t>ChatHealthy's FDA drug collection — the indication ↔ molecule (RxNorm ingredient RXCUI) ↔ ICD-10-CM bridge. One record per FDA product (set_id), prescription products only (OTC excluded). On its own it is reference structure; its use is that linkage, so that CMS claims (keyed by drug) tie through to indications and diagnoses.</w:t>
      </w:r>
    </w:p>
    <w:p>
      <w:pPr/>
      <w:r>
        <w:rPr>
          <w:color w:val="008000"/>
        </w:rPr>
        <w:t>Schema: ChatHealthyFdaProductToDiagnosisResolutionSchema.json · key = set_id · additionalProperties: true (native FDA SPL fields pass through) · required: set_id, resolved_by, indications, run_id, data_version.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008000"/>
              </w:rPr>
              <w:t>Field</w:t>
            </w:r>
          </w:p>
        </w:tc>
        <w:tc>
          <w:tcPr>
            <w:tcW w:type="dxa" w:w="2160"/>
          </w:tcPr>
          <w:p>
            <w:r/>
            <w:r>
              <w:rPr>
                <w:b/>
                <w:color w:val="008000"/>
              </w:rPr>
              <w:t>Type</w:t>
            </w:r>
          </w:p>
        </w:tc>
        <w:tc>
          <w:tcPr>
            <w:tcW w:type="dxa" w:w="2160"/>
          </w:tcPr>
          <w:p>
            <w:r/>
            <w:r>
              <w:rPr>
                <w:b/>
                <w:color w:val="008000"/>
              </w:rPr>
              <w:t>Req</w:t>
            </w:r>
          </w:p>
        </w:tc>
        <w:tc>
          <w:tcPr>
            <w:tcW w:type="dxa" w:w="2160"/>
          </w:tcPr>
          <w:p>
            <w:r/>
            <w:r>
              <w:rPr>
                <w:b/>
                <w:color w:val="008000"/>
              </w:rPr>
              <w:t>Description</w:t>
            </w:r>
          </w:p>
        </w:tc>
      </w:tr>
      <w:tr>
        <w:tc>
          <w:tcPr>
            <w:tcW w:type="dxa" w:w="2160"/>
          </w:tcPr>
          <w:p>
            <w:r/>
            <w:r>
              <w:rPr>
                <w:color w:val="008000"/>
              </w:rPr>
              <w:t>set_id</w:t>
            </w:r>
          </w:p>
        </w:tc>
        <w:tc>
          <w:tcPr>
            <w:tcW w:type="dxa" w:w="2160"/>
          </w:tcPr>
          <w:p>
            <w:r/>
            <w:r>
              <w:rPr>
                <w:color w:val="008000"/>
              </w:rPr>
              <w:t>string</w:t>
            </w:r>
          </w:p>
        </w:tc>
        <w:tc>
          <w:tcPr>
            <w:tcW w:type="dxa" w:w="2160"/>
          </w:tcPr>
          <w:p>
            <w:r/>
            <w:r>
              <w:rPr>
                <w:color w:val="008000"/>
              </w:rPr>
              <w:t>yes</w:t>
            </w:r>
          </w:p>
        </w:tc>
        <w:tc>
          <w:tcPr>
            <w:tcW w:type="dxa" w:w="2160"/>
          </w:tcPr>
          <w:p>
            <w:r/>
            <w:r>
              <w:rPr>
                <w:color w:val="008000"/>
              </w:rPr>
              <w:t>the FDA SPL set_id; the record key</w:t>
            </w:r>
          </w:p>
        </w:tc>
      </w:tr>
      <w:tr>
        <w:tc>
          <w:tcPr>
            <w:tcW w:type="dxa" w:w="2160"/>
          </w:tcPr>
          <w:p>
            <w:r/>
            <w:r>
              <w:rPr>
                <w:color w:val="008000"/>
              </w:rPr>
              <w:t>record_number</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t>sequential load index used for range work</w:t>
            </w:r>
          </w:p>
        </w:tc>
      </w:tr>
      <w:tr>
        <w:tc>
          <w:tcPr>
            <w:tcW w:type="dxa" w:w="2160"/>
          </w:tcPr>
          <w:p>
            <w:r/>
            <w:r>
              <w:rPr>
                <w:color w:val="008000"/>
              </w:rPr>
              <w:t>ingredient_rxcuis</w:t>
            </w:r>
          </w:p>
        </w:tc>
        <w:tc>
          <w:tcPr>
            <w:tcW w:type="dxa" w:w="2160"/>
          </w:tcPr>
          <w:p>
            <w:r/>
            <w:r>
              <w:rPr>
                <w:color w:val="008000"/>
              </w:rPr>
              <w:t>array[string]</w:t>
            </w:r>
          </w:p>
        </w:tc>
        <w:tc>
          <w:tcPr>
            <w:tcW w:type="dxa" w:w="2160"/>
          </w:tcPr>
          <w:p>
            <w:r/>
            <w:r>
              <w:rPr>
                <w:color w:val="008000"/>
              </w:rPr>
              <w:t>no</w:t>
            </w:r>
          </w:p>
        </w:tc>
        <w:tc>
          <w:tcPr>
            <w:tcW w:type="dxa" w:w="2160"/>
          </w:tcPr>
          <w:p>
            <w:r/>
            <w:r>
              <w:rPr>
                <w:color w:val="008000"/>
              </w:rPr>
              <w:t>resolved RxNorm ingredient RXCUIs (tty=IN); one for a single-ingredient drug, many for a combination</w:t>
            </w:r>
          </w:p>
        </w:tc>
      </w:tr>
      <w:tr>
        <w:tc>
          <w:tcPr>
            <w:tcW w:type="dxa" w:w="2160"/>
          </w:tcPr>
          <w:p>
            <w:r/>
            <w:r>
              <w:rPr>
                <w:color w:val="008000"/>
              </w:rPr>
              <w:t>resolved_by</w:t>
            </w:r>
          </w:p>
        </w:tc>
        <w:tc>
          <w:tcPr>
            <w:tcW w:type="dxa" w:w="2160"/>
          </w:tcPr>
          <w:p>
            <w:r/>
            <w:r>
              <w:rPr>
                <w:color w:val="008000"/>
              </w:rPr>
              <w:t>string enum[tier1, tier2, tier3, floor]</w:t>
            </w:r>
          </w:p>
        </w:tc>
        <w:tc>
          <w:tcPr>
            <w:tcW w:type="dxa" w:w="2160"/>
          </w:tcPr>
          <w:p>
            <w:r/>
            <w:r>
              <w:rPr>
                <w:color w:val="008000"/>
              </w:rPr>
              <w:t>yes</w:t>
            </w:r>
          </w:p>
        </w:tc>
        <w:tc>
          <w:tcPr>
            <w:tcW w:type="dxa" w:w="2160"/>
          </w:tcPr>
          <w:p>
            <w:r/>
            <w:r>
              <w:rPr>
                <w:color w:val="008000"/>
              </w:rPr>
              <w:t>the resolution tier that produced ingredient_rxcuis</w:t>
            </w:r>
          </w:p>
        </w:tc>
      </w:tr>
      <w:tr>
        <w:tc>
          <w:tcPr>
            <w:tcW w:type="dxa" w:w="2160"/>
          </w:tcPr>
          <w:p>
            <w:r/>
            <w:r>
              <w:rPr>
                <w:color w:val="008000"/>
              </w:rPr>
              <w:t>resolution_confidence</w:t>
            </w:r>
          </w:p>
        </w:tc>
        <w:tc>
          <w:tcPr>
            <w:tcW w:type="dxa" w:w="2160"/>
          </w:tcPr>
          <w:p>
            <w:r/>
            <w:r>
              <w:rPr>
                <w:color w:val="008000"/>
              </w:rPr>
              <w:t>number | null (0.0–1.0)</w:t>
            </w:r>
          </w:p>
        </w:tc>
        <w:tc>
          <w:tcPr>
            <w:tcW w:type="dxa" w:w="2160"/>
          </w:tcPr>
          <w:p>
            <w:r/>
            <w:r>
              <w:rPr>
                <w:color w:val="008000"/>
              </w:rPr>
              <w:t>no</w:t>
            </w:r>
          </w:p>
        </w:tc>
        <w:tc>
          <w:tcPr>
            <w:tcW w:type="dxa" w:w="2160"/>
          </w:tcPr>
          <w:p>
            <w:r/>
            <w:r>
              <w:rPr>
                <w:color w:val="008000"/>
              </w:rPr>
            </w:r>
          </w:p>
        </w:tc>
      </w:tr>
      <w:tr>
        <w:tc>
          <w:tcPr>
            <w:tcW w:type="dxa" w:w="2160"/>
          </w:tcPr>
          <w:p>
            <w:r/>
            <w:r>
              <w:rPr>
                <w:color w:val="008000"/>
              </w:rPr>
              <w:t>resolution_confidence_rationale</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w:t>
            </w:r>
          </w:p>
        </w:tc>
        <w:tc>
          <w:tcPr>
            <w:tcW w:type="dxa" w:w="2160"/>
          </w:tcPr>
          <w:p>
            <w:r/>
            <w:r>
              <w:rPr>
                <w:color w:val="008000"/>
              </w:rPr>
              <w:t>array[object]</w:t>
            </w:r>
          </w:p>
        </w:tc>
        <w:tc>
          <w:tcPr>
            <w:tcW w:type="dxa" w:w="2160"/>
          </w:tcPr>
          <w:p>
            <w:r/>
            <w:r>
              <w:rPr>
                <w:color w:val="008000"/>
              </w:rPr>
              <w:t>yes</w:t>
            </w:r>
          </w:p>
        </w:tc>
        <w:tc>
          <w:tcPr>
            <w:tcW w:type="dxa" w:w="2160"/>
          </w:tcPr>
          <w:p>
            <w:r/>
            <w:r>
              <w:rPr>
                <w:color w:val="008000"/>
              </w:rPr>
              <w:t>per-indication resolution; object required: indication, confidence_rationale, codes</w:t>
            </w:r>
          </w:p>
        </w:tc>
      </w:tr>
      <w:tr>
        <w:tc>
          <w:tcPr>
            <w:tcW w:type="dxa" w:w="2160"/>
          </w:tcPr>
          <w:p>
            <w:r/>
            <w:r>
              <w:rPr>
                <w:color w:val="008000"/>
              </w:rPr>
              <w:t>indications[].indication</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indications[].confidence_rationale</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indications[].codes</w:t>
            </w:r>
          </w:p>
        </w:tc>
        <w:tc>
          <w:tcPr>
            <w:tcW w:type="dxa" w:w="2160"/>
          </w:tcPr>
          <w:p>
            <w:r/>
            <w:r>
              <w:rPr>
                <w:color w:val="008000"/>
              </w:rPr>
              <w:t>array[object]</w:t>
            </w:r>
          </w:p>
        </w:tc>
        <w:tc>
          <w:tcPr>
            <w:tcW w:type="dxa" w:w="2160"/>
          </w:tcPr>
          <w:p>
            <w:r/>
            <w:r>
              <w:rPr>
                <w:color w:val="008000"/>
              </w:rPr>
              <w:t>yes</w:t>
            </w:r>
          </w:p>
        </w:tc>
        <w:tc>
          <w:tcPr>
            <w:tcW w:type="dxa" w:w="2160"/>
          </w:tcPr>
          <w:p>
            <w:r/>
            <w:r>
              <w:rPr>
                <w:color w:val="008000"/>
              </w:rPr>
              <w:t>ICD-10-CM codes for the indication; object required: icd10_code, level, confidence</w:t>
            </w:r>
          </w:p>
        </w:tc>
      </w:tr>
      <w:tr>
        <w:tc>
          <w:tcPr>
            <w:tcW w:type="dxa" w:w="2160"/>
          </w:tcPr>
          <w:p>
            <w:r/>
            <w:r>
              <w:rPr>
                <w:color w:val="008000"/>
              </w:rPr>
              <w:t>indications[].codes[].icd10_code</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indications[].codes[].level</w:t>
            </w:r>
          </w:p>
        </w:tc>
        <w:tc>
          <w:tcPr>
            <w:tcW w:type="dxa" w:w="2160"/>
          </w:tcPr>
          <w:p>
            <w:r/>
            <w:r>
              <w:rPr>
                <w:color w:val="008000"/>
              </w:rPr>
              <w:t>integer enum[3, 4]</w:t>
            </w:r>
          </w:p>
        </w:tc>
        <w:tc>
          <w:tcPr>
            <w:tcW w:type="dxa" w:w="2160"/>
          </w:tcPr>
          <w:p>
            <w:r/>
            <w:r>
              <w:rPr>
                <w:color w:val="008000"/>
              </w:rPr>
              <w:t>yes</w:t>
            </w:r>
          </w:p>
        </w:tc>
        <w:tc>
          <w:tcPr>
            <w:tcW w:type="dxa" w:w="2160"/>
          </w:tcPr>
          <w:p>
            <w:r/>
            <w:r>
              <w:rPr>
                <w:color w:val="008000"/>
              </w:rPr>
              <w:t>ICD-10-CM 3- or 4-character level</w:t>
            </w:r>
          </w:p>
        </w:tc>
      </w:tr>
      <w:tr>
        <w:tc>
          <w:tcPr>
            <w:tcW w:type="dxa" w:w="2160"/>
          </w:tcPr>
          <w:p>
            <w:r/>
            <w:r>
              <w:rPr>
                <w:color w:val="008000"/>
              </w:rPr>
              <w:t>indications[].codes[].confidence</w:t>
            </w:r>
          </w:p>
        </w:tc>
        <w:tc>
          <w:tcPr>
            <w:tcW w:type="dxa" w:w="2160"/>
          </w:tcPr>
          <w:p>
            <w:r/>
            <w:r>
              <w:rPr>
                <w:color w:val="008000"/>
              </w:rPr>
              <w:t>number (0.0–1.0)</w:t>
            </w:r>
          </w:p>
        </w:tc>
        <w:tc>
          <w:tcPr>
            <w:tcW w:type="dxa" w:w="2160"/>
          </w:tcPr>
          <w:p>
            <w:r/>
            <w:r>
              <w:rPr>
                <w:color w:val="008000"/>
              </w:rPr>
              <w:t>yes</w:t>
            </w:r>
          </w:p>
        </w:tc>
        <w:tc>
          <w:tcPr>
            <w:tcW w:type="dxa" w:w="2160"/>
          </w:tcPr>
          <w:p>
            <w:r/>
            <w:r>
              <w:rPr>
                <w:color w:val="008000"/>
              </w:rPr>
            </w:r>
          </w:p>
        </w:tc>
      </w:tr>
      <w:tr>
        <w:tc>
          <w:tcPr>
            <w:tcW w:type="dxa" w:w="2160"/>
          </w:tcPr>
          <w:p>
            <w:r/>
            <w:r>
              <w:rPr>
                <w:color w:val="008000"/>
              </w:rPr>
              <w:t>usage_summary</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run_id</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data_version</w:t>
            </w:r>
          </w:p>
        </w:tc>
        <w:tc>
          <w:tcPr>
            <w:tcW w:type="dxa" w:w="2160"/>
          </w:tcPr>
          <w:p>
            <w:r/>
            <w:r>
              <w:rPr>
                <w:color w:val="008000"/>
              </w:rPr>
              <w:t>integer (≥1)</w:t>
            </w:r>
          </w:p>
        </w:tc>
        <w:tc>
          <w:tcPr>
            <w:tcW w:type="dxa" w:w="2160"/>
          </w:tcPr>
          <w:p>
            <w:r/>
            <w:r>
              <w:rPr>
                <w:color w:val="008000"/>
              </w:rPr>
              <w:t>yes</w:t>
            </w:r>
          </w:p>
        </w:tc>
        <w:tc>
          <w:tcPr>
            <w:tcW w:type="dxa" w:w="2160"/>
          </w:tcPr>
          <w:p>
            <w:r/>
            <w:r>
              <w:rPr>
                <w:color w:val="008000"/>
              </w:rPr>
            </w:r>
          </w:p>
        </w:tc>
      </w:tr>
    </w:tbl>
    <w:p>
      <w:pPr>
        <w:pStyle w:val="Heading4"/>
      </w:pPr>
      <w:r>
        <w:rPr>
          <w:color w:val="008000"/>
        </w:rPr>
        <w:t>ProviderMedicare</w:t>
      </w:r>
    </w:p>
    <w:p>
      <w:pPr/>
      <w:r>
        <w:rPr>
          <w:color w:val="008000"/>
        </w:rPr>
        <w:t>One document per NPI — the provider's own Medicare figures: Part B procedures, Part D drugs with the CMS brand/generic/claims/day-supply/beneficiaries/cost, plus the rxcui/molecule/parent_indications join fields filled in from the FDA map (fdaProductToDiagnosisResolution). Specialty aggregates and tier cut-points are never carried here — they live on SpecialtyMedicare.</w:t>
      </w:r>
    </w:p>
    <w:p>
      <w:pPr/>
      <w:r>
        <w:rPr>
          <w:color w:val="008000"/>
        </w:rPr>
        <w:t>Schema: ChatHealthyProviderMedicareSchema.json · key = _id (NPI) · additionalProperties: false · required: _id, entity_type, specialty.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008000"/>
              </w:rPr>
              <w:t>Field</w:t>
            </w:r>
          </w:p>
        </w:tc>
        <w:tc>
          <w:tcPr>
            <w:tcW w:type="dxa" w:w="2160"/>
          </w:tcPr>
          <w:p>
            <w:r/>
            <w:r>
              <w:rPr>
                <w:b/>
                <w:color w:val="008000"/>
              </w:rPr>
              <w:t>Type</w:t>
            </w:r>
          </w:p>
        </w:tc>
        <w:tc>
          <w:tcPr>
            <w:tcW w:type="dxa" w:w="2160"/>
          </w:tcPr>
          <w:p>
            <w:r/>
            <w:r>
              <w:rPr>
                <w:b/>
                <w:color w:val="008000"/>
              </w:rPr>
              <w:t>Req</w:t>
            </w:r>
          </w:p>
        </w:tc>
        <w:tc>
          <w:tcPr>
            <w:tcW w:type="dxa" w:w="2160"/>
          </w:tcPr>
          <w:p>
            <w:r/>
            <w:r>
              <w:rPr>
                <w:b/>
                <w:color w:val="008000"/>
              </w:rPr>
              <w:t>Description</w:t>
            </w:r>
          </w:p>
        </w:tc>
      </w:tr>
      <w:tr>
        <w:tc>
          <w:tcPr>
            <w:tcW w:type="dxa" w:w="2160"/>
          </w:tcPr>
          <w:p>
            <w:r/>
            <w:r>
              <w:rPr>
                <w:color w:val="008000"/>
              </w:rPr>
              <w:t>_id</w:t>
            </w:r>
          </w:p>
        </w:tc>
        <w:tc>
          <w:tcPr>
            <w:tcW w:type="dxa" w:w="2160"/>
          </w:tcPr>
          <w:p>
            <w:r/>
            <w:r>
              <w:rPr>
                <w:color w:val="008000"/>
              </w:rPr>
              <w:t>string ^[0-9]{10}$</w:t>
            </w:r>
          </w:p>
        </w:tc>
        <w:tc>
          <w:tcPr>
            <w:tcW w:type="dxa" w:w="2160"/>
          </w:tcPr>
          <w:p>
            <w:r/>
            <w:r>
              <w:rPr>
                <w:color w:val="008000"/>
              </w:rPr>
              <w:t>yes</w:t>
            </w:r>
          </w:p>
        </w:tc>
        <w:tc>
          <w:tcPr>
            <w:tcW w:type="dxa" w:w="2160"/>
          </w:tcPr>
          <w:p>
            <w:r/>
            <w:r>
              <w:rPr>
                <w:color w:val="008000"/>
              </w:rPr>
              <w:t>NPI</w:t>
            </w:r>
          </w:p>
        </w:tc>
      </w:tr>
      <w:tr>
        <w:tc>
          <w:tcPr>
            <w:tcW w:type="dxa" w:w="2160"/>
          </w:tcPr>
          <w:p>
            <w:r/>
            <w:r>
              <w:rPr>
                <w:color w:val="008000"/>
              </w:rPr>
              <w:t>npi</w:t>
            </w:r>
          </w:p>
        </w:tc>
        <w:tc>
          <w:tcPr>
            <w:tcW w:type="dxa" w:w="2160"/>
          </w:tcPr>
          <w:p>
            <w:r/>
            <w:r>
              <w:rPr>
                <w:color w:val="008000"/>
              </w:rPr>
              <w:t>string ^[0-9]{10}$</w:t>
            </w:r>
          </w:p>
        </w:tc>
        <w:tc>
          <w:tcPr>
            <w:tcW w:type="dxa" w:w="2160"/>
          </w:tcPr>
          <w:p>
            <w:r/>
            <w:r>
              <w:rPr>
                <w:color w:val="008000"/>
              </w:rPr>
              <w:t>no</w:t>
            </w:r>
          </w:p>
        </w:tc>
        <w:tc>
          <w:tcPr>
            <w:tcW w:type="dxa" w:w="2160"/>
          </w:tcPr>
          <w:p>
            <w:r/>
            <w:r>
              <w:rPr>
                <w:color w:val="008000"/>
              </w:rPr>
            </w:r>
          </w:p>
        </w:tc>
      </w:tr>
      <w:tr>
        <w:tc>
          <w:tcPr>
            <w:tcW w:type="dxa" w:w="2160"/>
          </w:tcPr>
          <w:p>
            <w:r/>
            <w:r>
              <w:rPr>
                <w:color w:val="008000"/>
              </w:rPr>
              <w:t>entity_type</w:t>
            </w:r>
          </w:p>
        </w:tc>
        <w:tc>
          <w:tcPr>
            <w:tcW w:type="dxa" w:w="2160"/>
          </w:tcPr>
          <w:p>
            <w:r/>
            <w:r>
              <w:rPr>
                <w:color w:val="008000"/>
              </w:rPr>
              <w:t>string enum[I, O]</w:t>
            </w:r>
          </w:p>
        </w:tc>
        <w:tc>
          <w:tcPr>
            <w:tcW w:type="dxa" w:w="2160"/>
          </w:tcPr>
          <w:p>
            <w:r/>
            <w:r>
              <w:rPr>
                <w:color w:val="008000"/>
              </w:rPr>
              <w:t>yes</w:t>
            </w:r>
          </w:p>
        </w:tc>
        <w:tc>
          <w:tcPr>
            <w:tcW w:type="dxa" w:w="2160"/>
          </w:tcPr>
          <w:p>
            <w:r/>
            <w:r>
              <w:rPr>
                <w:color w:val="008000"/>
              </w:rPr>
            </w:r>
          </w:p>
        </w:tc>
      </w:tr>
      <w:tr>
        <w:tc>
          <w:tcPr>
            <w:tcW w:type="dxa" w:w="2160"/>
          </w:tcPr>
          <w:p>
            <w:r/>
            <w:r>
              <w:rPr>
                <w:color w:val="008000"/>
              </w:rPr>
              <w:t>specialty</w:t>
            </w:r>
          </w:p>
        </w:tc>
        <w:tc>
          <w:tcPr>
            <w:tcW w:type="dxa" w:w="2160"/>
          </w:tcPr>
          <w:p>
            <w:r/>
            <w:r>
              <w:rPr>
                <w:color w:val="008000"/>
              </w:rPr>
              <w:t>array[string]</w:t>
            </w:r>
          </w:p>
        </w:tc>
        <w:tc>
          <w:tcPr>
            <w:tcW w:type="dxa" w:w="2160"/>
          </w:tcPr>
          <w:p>
            <w:r/>
            <w:r>
              <w:rPr>
                <w:color w:val="008000"/>
              </w:rPr>
              <w:t>yes</w:t>
            </w:r>
          </w:p>
        </w:tc>
        <w:tc>
          <w:tcPr>
            <w:tcW w:type="dxa" w:w="2160"/>
          </w:tcPr>
          <w:p>
            <w:r/>
            <w:r>
              <w:rPr>
                <w:color w:val="008000"/>
              </w:rPr>
              <w:t>NUCC codes</w:t>
            </w:r>
          </w:p>
        </w:tc>
      </w:tr>
      <w:tr>
        <w:tc>
          <w:tcPr>
            <w:tcW w:type="dxa" w:w="2160"/>
          </w:tcPr>
          <w:p>
            <w:r/>
            <w:r>
              <w:rPr>
                <w:color w:val="008000"/>
              </w:rPr>
              <w:t>provider_state</w:t>
            </w:r>
          </w:p>
        </w:tc>
        <w:tc>
          <w:tcPr>
            <w:tcW w:type="dxa" w:w="2160"/>
          </w:tcPr>
          <w:p>
            <w:r/>
            <w:r>
              <w:rPr>
                <w:color w:val="008000"/>
              </w:rPr>
              <w:t>string</w:t>
            </w:r>
          </w:p>
        </w:tc>
        <w:tc>
          <w:tcPr>
            <w:tcW w:type="dxa" w:w="2160"/>
          </w:tcPr>
          <w:p>
            <w:r/>
            <w:r>
              <w:rPr>
                <w:color w:val="008000"/>
              </w:rPr>
              <w:t>no</w:t>
            </w:r>
          </w:p>
        </w:tc>
        <w:tc>
          <w:tcPr>
            <w:tcW w:type="dxa" w:w="2160"/>
          </w:tcPr>
          <w:p>
            <w:r/>
            <w:r>
              <w:rPr>
                <w:color w:val="008000"/>
              </w:rPr>
              <w:t>business-address state the base build fanned this record under</w:t>
            </w:r>
          </w:p>
        </w:tc>
      </w:tr>
      <w:tr>
        <w:tc>
          <w:tcPr>
            <w:tcW w:type="dxa" w:w="2160"/>
          </w:tcPr>
          <w:p>
            <w:r/>
            <w:r>
              <w:rPr>
                <w:color w:val="008000"/>
              </w:rPr>
              <w:t>ccn</w:t>
            </w:r>
          </w:p>
        </w:tc>
        <w:tc>
          <w:tcPr>
            <w:tcW w:type="dxa" w:w="2160"/>
          </w:tcPr>
          <w:p>
            <w:r/>
            <w:r>
              <w:rPr>
                <w:color w:val="008000"/>
              </w:rPr>
              <w:t>string</w:t>
            </w:r>
          </w:p>
        </w:tc>
        <w:tc>
          <w:tcPr>
            <w:tcW w:type="dxa" w:w="2160"/>
          </w:tcPr>
          <w:p>
            <w:r/>
            <w:r>
              <w:rPr>
                <w:color w:val="008000"/>
              </w:rPr>
              <w:t>no</w:t>
            </w:r>
          </w:p>
        </w:tc>
        <w:tc>
          <w:tcPr>
            <w:tcW w:type="dxa" w:w="2160"/>
          </w:tcPr>
          <w:p>
            <w:r/>
            <w:r>
              <w:rPr>
                <w:color w:val="008000"/>
              </w:rPr>
              <w:t>CMS Certification Number (organization only)</w:t>
            </w:r>
          </w:p>
        </w:tc>
      </w:tr>
      <w:tr>
        <w:tc>
          <w:tcPr>
            <w:tcW w:type="dxa" w:w="2160"/>
          </w:tcPr>
          <w:p>
            <w:r/>
            <w:r>
              <w:rPr>
                <w:color w:val="008000"/>
              </w:rPr>
              <w:t>size_tier</w:t>
            </w:r>
          </w:p>
        </w:tc>
        <w:tc>
          <w:tcPr>
            <w:tcW w:type="dxa" w:w="2160"/>
          </w:tcPr>
          <w:p>
            <w:r/>
            <w:r>
              <w:rPr>
                <w:color w:val="008000"/>
              </w:rPr>
              <w:t>integer | null (1–5)</w:t>
            </w:r>
          </w:p>
        </w:tc>
        <w:tc>
          <w:tcPr>
            <w:tcW w:type="dxa" w:w="2160"/>
          </w:tcPr>
          <w:p>
            <w:r/>
            <w:r>
              <w:rPr>
                <w:color w:val="008000"/>
              </w:rPr>
              <w:t>no</w:t>
            </w:r>
          </w:p>
        </w:tc>
        <w:tc>
          <w:tcPr>
            <w:tcW w:type="dxa" w:w="2160"/>
          </w:tcPr>
          <w:p>
            <w:r/>
            <w:r>
              <w:rPr>
                <w:color w:val="008000"/>
              </w:rPr>
              <w:t>organization only; data-driven quintile band of certified bed count, null for ambulatory / no-bed facilities</w:t>
            </w:r>
          </w:p>
        </w:tc>
      </w:tr>
      <w:tr>
        <w:tc>
          <w:tcPr>
            <w:tcW w:type="dxa" w:w="2160"/>
          </w:tcPr>
          <w:p>
            <w:r/>
            <w:r>
              <w:rPr>
                <w:color w:val="008000"/>
              </w:rPr>
              <w:t>run_id</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data_version</w:t>
            </w:r>
          </w:p>
        </w:tc>
        <w:tc>
          <w:tcPr>
            <w:tcW w:type="dxa" w:w="2160"/>
          </w:tcPr>
          <w:p>
            <w:r/>
            <w:r>
              <w:rPr>
                <w:color w:val="008000"/>
              </w:rPr>
              <w:t>integer (≥1)</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Part B billed services (object has no required members)</w:t>
            </w:r>
          </w:p>
        </w:tc>
      </w:tr>
      <w:tr>
        <w:tc>
          <w:tcPr>
            <w:tcW w:type="dxa" w:w="2160"/>
          </w:tcPr>
          <w:p>
            <w:r/>
            <w:r>
              <w:rPr>
                <w:color w:val="008000"/>
              </w:rPr>
              <w:t>procedures[].hcpcs</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procedures[].descriptor</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procedures[].hcpcs_level2</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procedures[].label</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procedures[].year</w:t>
            </w:r>
          </w:p>
        </w:tc>
        <w:tc>
          <w:tcPr>
            <w:tcW w:type="dxa" w:w="2160"/>
          </w:tcPr>
          <w:p>
            <w:r/>
            <w:r>
              <w:rPr>
                <w:color w:val="008000"/>
              </w:rPr>
              <w:t>integer</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procedures[].service_count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procedures[].submitted_amount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procedures[].allowed_amount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procedures[].paid_amount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procedures[].allowed_icd10</w:t>
            </w:r>
          </w:p>
        </w:tc>
        <w:tc>
          <w:tcPr>
            <w:tcW w:type="dxa" w:w="2160"/>
          </w:tcPr>
          <w:p>
            <w:r/>
            <w:r>
              <w:rPr>
                <w:color w:val="008000"/>
              </w:rPr>
              <w:t>array[string]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procedures[].justification_kind</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procedures[].justification_source</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drugs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Part D drugs (object has no required members)</w:t>
            </w:r>
          </w:p>
        </w:tc>
      </w:tr>
      <w:tr>
        <w:tc>
          <w:tcPr>
            <w:tcW w:type="dxa" w:w="2160"/>
          </w:tcPr>
          <w:p>
            <w:r/>
            <w:r>
              <w:rPr>
                <w:color w:val="008000"/>
              </w:rPr>
              <w:t>drugs[].brand</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drugs[].generic</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drugs[].year</w:t>
            </w:r>
          </w:p>
        </w:tc>
        <w:tc>
          <w:tcPr>
            <w:tcW w:type="dxa" w:w="2160"/>
          </w:tcPr>
          <w:p>
            <w:r/>
            <w:r>
              <w:rPr>
                <w:color w:val="008000"/>
              </w:rPr>
              <w:t>integer</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drugs[].total_claims</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drugs[].total_drug_cost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drugs[].rxcui</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t>join field from the FDA map</w:t>
            </w:r>
          </w:p>
        </w:tc>
      </w:tr>
      <w:tr>
        <w:tc>
          <w:tcPr>
            <w:tcW w:type="dxa" w:w="2160"/>
          </w:tcPr>
          <w:p>
            <w:r/>
            <w:r>
              <w:rPr>
                <w:color w:val="008000"/>
              </w:rPr>
              <w:t>drugs[].molecule</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t>join field from the FDA map</w:t>
            </w:r>
          </w:p>
        </w:tc>
      </w:tr>
      <w:tr>
        <w:tc>
          <w:tcPr>
            <w:tcW w:type="dxa" w:w="2160"/>
          </w:tcPr>
          <w:p>
            <w:r/>
            <w:r>
              <w:rPr>
                <w:color w:val="008000"/>
              </w:rPr>
              <w:t>drugs[].parent_indications</w:t>
            </w:r>
          </w:p>
        </w:tc>
        <w:tc>
          <w:tcPr>
            <w:tcW w:type="dxa" w:w="2160"/>
          </w:tcPr>
          <w:p>
            <w:r/>
            <w:r>
              <w:rPr>
                <w:color w:val="008000"/>
              </w:rPr>
              <w:t>array[string]</w:t>
            </w:r>
          </w:p>
        </w:tc>
        <w:tc>
          <w:tcPr>
            <w:tcW w:type="dxa" w:w="2160"/>
          </w:tcPr>
          <w:p>
            <w:r/>
            <w:r>
              <w:rPr>
                <w:color w:val="008000"/>
              </w:rPr>
              <w:t>no</w:t>
            </w:r>
          </w:p>
        </w:tc>
        <w:tc>
          <w:tcPr>
            <w:tcW w:type="dxa" w:w="2160"/>
          </w:tcPr>
          <w:p>
            <w:r/>
            <w:r>
              <w:rPr>
                <w:color w:val="008000"/>
              </w:rPr>
              <w:t>join field from the FDA map</w:t>
            </w:r>
          </w:p>
        </w:tc>
      </w:tr>
      <w:tr>
        <w:tc>
          <w:tcPr>
            <w:tcW w:type="dxa" w:w="2160"/>
          </w:tcPr>
          <w:p>
            <w:r/>
            <w:r>
              <w:rPr>
                <w:color w:val="008000"/>
              </w:rPr>
              <w:t>indications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object required: indication_id, source</w:t>
            </w:r>
          </w:p>
        </w:tc>
      </w:tr>
      <w:tr>
        <w:tc>
          <w:tcPr>
            <w:tcW w:type="dxa" w:w="2160"/>
          </w:tcPr>
          <w:p>
            <w:r/>
            <w:r>
              <w:rPr>
                <w:color w:val="008000"/>
              </w:rPr>
              <w:t>indications[].indication_id</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indications[].source</w:t>
            </w:r>
          </w:p>
        </w:tc>
        <w:tc>
          <w:tcPr>
            <w:tcW w:type="dxa" w:w="2160"/>
          </w:tcPr>
          <w:p>
            <w:r/>
            <w:r>
              <w:rPr>
                <w:color w:val="008000"/>
              </w:rPr>
              <w:t>string enum[procedure, drug]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indications[].days_supply</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t>provider's own per-indication total, count-under-each</w:t>
            </w:r>
          </w:p>
        </w:tc>
      </w:tr>
    </w:tbl>
    <w:p>
      <w:pPr>
        <w:pStyle w:val="Heading4"/>
      </w:pPr>
      <w:r>
        <w:rPr>
          <w:color w:val="008000"/>
        </w:rPr>
        <w:t>SpecialtyMedicare</w:t>
      </w:r>
    </w:p>
    <w:p>
      <w:pPr/>
      <w:r>
        <w:rPr>
          <w:color w:val="008000"/>
        </w:rPr>
        <w:t>One document per NUCC specialty code — a rollup of ProviderMedicare plus an embedding. It carries the day-supply mean, median and four quintile cut-points (per drug and per indication) that define the five provider tiers a provider is placed into at evaluation. These benchmark figures live only here, never on provider records.</w:t>
      </w:r>
    </w:p>
    <w:p>
      <w:pPr/>
      <w:r>
        <w:rPr>
          <w:color w:val="008000"/>
        </w:rPr>
        <w:t>Schema: ChatHealthySpecialtyMedicareSchema.json · key = _id (NUCC code) · additionalProperties: false · required: _id, provider_count.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008000"/>
              </w:rPr>
              <w:t>Field</w:t>
            </w:r>
          </w:p>
        </w:tc>
        <w:tc>
          <w:tcPr>
            <w:tcW w:type="dxa" w:w="2160"/>
          </w:tcPr>
          <w:p>
            <w:r/>
            <w:r>
              <w:rPr>
                <w:b/>
                <w:color w:val="008000"/>
              </w:rPr>
              <w:t>Type</w:t>
            </w:r>
          </w:p>
        </w:tc>
        <w:tc>
          <w:tcPr>
            <w:tcW w:type="dxa" w:w="2160"/>
          </w:tcPr>
          <w:p>
            <w:r/>
            <w:r>
              <w:rPr>
                <w:b/>
                <w:color w:val="008000"/>
              </w:rPr>
              <w:t>Req</w:t>
            </w:r>
          </w:p>
        </w:tc>
        <w:tc>
          <w:tcPr>
            <w:tcW w:type="dxa" w:w="2160"/>
          </w:tcPr>
          <w:p>
            <w:r/>
            <w:r>
              <w:rPr>
                <w:b/>
                <w:color w:val="008000"/>
              </w:rPr>
              <w:t>Description</w:t>
            </w:r>
          </w:p>
        </w:tc>
      </w:tr>
      <w:tr>
        <w:tc>
          <w:tcPr>
            <w:tcW w:type="dxa" w:w="2160"/>
          </w:tcPr>
          <w:p>
            <w:r/>
            <w:r>
              <w:rPr>
                <w:color w:val="008000"/>
              </w:rPr>
              <w:t>_id</w:t>
            </w:r>
          </w:p>
        </w:tc>
        <w:tc>
          <w:tcPr>
            <w:tcW w:type="dxa" w:w="2160"/>
          </w:tcPr>
          <w:p>
            <w:r/>
            <w:r>
              <w:rPr>
                <w:color w:val="008000"/>
              </w:rPr>
              <w:t>string</w:t>
            </w:r>
          </w:p>
        </w:tc>
        <w:tc>
          <w:tcPr>
            <w:tcW w:type="dxa" w:w="2160"/>
          </w:tcPr>
          <w:p>
            <w:r/>
            <w:r>
              <w:rPr>
                <w:color w:val="008000"/>
              </w:rPr>
              <w:t>yes</w:t>
            </w:r>
          </w:p>
        </w:tc>
        <w:tc>
          <w:tcPr>
            <w:tcW w:type="dxa" w:w="2160"/>
          </w:tcPr>
          <w:p>
            <w:r/>
            <w:r>
              <w:rPr>
                <w:color w:val="008000"/>
              </w:rPr>
              <w:t>NUCC code</w:t>
            </w:r>
          </w:p>
        </w:tc>
      </w:tr>
      <w:tr>
        <w:tc>
          <w:tcPr>
            <w:tcW w:type="dxa" w:w="2160"/>
          </w:tcPr>
          <w:p>
            <w:r/>
            <w:r>
              <w:rPr>
                <w:color w:val="008000"/>
              </w:rPr>
              <w:t>nucc_code</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provider_count</w:t>
            </w:r>
          </w:p>
        </w:tc>
        <w:tc>
          <w:tcPr>
            <w:tcW w:type="dxa" w:w="2160"/>
          </w:tcPr>
          <w:p>
            <w:r/>
            <w:r>
              <w:rPr>
                <w:color w:val="008000"/>
              </w:rPr>
              <w:t>integer (≥0)</w:t>
            </w:r>
          </w:p>
        </w:tc>
        <w:tc>
          <w:tcPr>
            <w:tcW w:type="dxa" w:w="2160"/>
          </w:tcPr>
          <w:p>
            <w:r/>
            <w:r>
              <w:rPr>
                <w:color w:val="008000"/>
              </w:rPr>
              <w:t>yes</w:t>
            </w:r>
          </w:p>
        </w:tc>
        <w:tc>
          <w:tcPr>
            <w:tcW w:type="dxa" w:w="2160"/>
          </w:tcPr>
          <w:p>
            <w:r/>
            <w:r>
              <w:rPr>
                <w:color w:val="008000"/>
              </w:rPr>
              <w:t>providers in base with this NUCC in any taxonomy slot</w:t>
            </w:r>
          </w:p>
        </w:tc>
      </w:tr>
      <w:tr>
        <w:tc>
          <w:tcPr>
            <w:tcW w:type="dxa" w:w="2160"/>
          </w:tcPr>
          <w:p>
            <w:r/>
            <w:r>
              <w:rPr>
                <w:color w:val="008000"/>
              </w:rPr>
              <w:t>run_id</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data_version</w:t>
            </w:r>
          </w:p>
        </w:tc>
        <w:tc>
          <w:tcPr>
            <w:tcW w:type="dxa" w:w="2160"/>
          </w:tcPr>
          <w:p>
            <w:r/>
            <w:r>
              <w:rPr>
                <w:color w:val="008000"/>
              </w:rPr>
              <w:t>integer (≥1)</w:t>
            </w:r>
          </w:p>
        </w:tc>
        <w:tc>
          <w:tcPr>
            <w:tcW w:type="dxa" w:w="2160"/>
          </w:tcPr>
          <w:p>
            <w:r/>
            <w:r>
              <w:rPr>
                <w:color w:val="008000"/>
              </w:rPr>
              <w:t>no</w:t>
            </w:r>
          </w:p>
        </w:tc>
        <w:tc>
          <w:tcPr>
            <w:tcW w:type="dxa" w:w="2160"/>
          </w:tcPr>
          <w:p>
            <w:r/>
            <w:r>
              <w:rPr>
                <w:color w:val="008000"/>
              </w:rPr>
            </w:r>
          </w:p>
        </w:tc>
      </w:tr>
      <w:tr>
        <w:tc>
          <w:tcPr>
            <w:tcW w:type="dxa" w:w="2160"/>
          </w:tcPr>
          <w:p>
            <w:r/>
            <w:r>
              <w:rPr>
                <w:color w:val="008000"/>
              </w:rPr>
              <w:t>embedding</w:t>
            </w:r>
          </w:p>
        </w:tc>
        <w:tc>
          <w:tcPr>
            <w:tcW w:type="dxa" w:w="2160"/>
          </w:tcPr>
          <w:p>
            <w:r/>
            <w:r>
              <w:rPr>
                <w:color w:val="008000"/>
              </w:rPr>
              <w:t>array[number]</w:t>
            </w:r>
          </w:p>
        </w:tc>
        <w:tc>
          <w:tcPr>
            <w:tcW w:type="dxa" w:w="2160"/>
          </w:tcPr>
          <w:p>
            <w:r/>
            <w:r>
              <w:rPr>
                <w:color w:val="008000"/>
              </w:rPr>
              <w:t>no</w:t>
            </w:r>
          </w:p>
        </w:tc>
        <w:tc>
          <w:tcPr>
            <w:tcW w:type="dxa" w:w="2160"/>
          </w:tcPr>
          <w:p>
            <w:r/>
            <w:r>
              <w:rPr>
                <w:color w:val="008000"/>
              </w:rPr>
              <w:t>specialty embedding vector</w:t>
            </w:r>
          </w:p>
        </w:tc>
      </w:tr>
      <w:tr>
        <w:tc>
          <w:tcPr>
            <w:tcW w:type="dxa" w:w="2160"/>
          </w:tcPr>
          <w:p>
            <w:r/>
            <w:r>
              <w:rPr>
                <w:color w:val="008000"/>
              </w:rPr>
              <w:t>embedding_model</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per-HCPCS rollup (object has no required members)</w:t>
            </w:r>
          </w:p>
        </w:tc>
      </w:tr>
      <w:tr>
        <w:tc>
          <w:tcPr>
            <w:tcW w:type="dxa" w:w="2160"/>
          </w:tcPr>
          <w:p>
            <w:r/>
            <w:r>
              <w:rPr>
                <w:color w:val="008000"/>
              </w:rPr>
              <w:t>procedures[].hcpcs</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procedures[].provider_count</w:t>
            </w:r>
          </w:p>
        </w:tc>
        <w:tc>
          <w:tcPr>
            <w:tcW w:type="dxa" w:w="2160"/>
          </w:tcPr>
          <w:p>
            <w:r/>
            <w:r>
              <w:rPr>
                <w:color w:val="008000"/>
              </w:rPr>
              <w:t>integer (≥0)</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procedures[].service_count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procedures[].allowed_amount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per-drug rollup (object has no required members)</w:t>
            </w:r>
          </w:p>
        </w:tc>
      </w:tr>
      <w:tr>
        <w:tc>
          <w:tcPr>
            <w:tcW w:type="dxa" w:w="2160"/>
          </w:tcPr>
          <w:p>
            <w:r/>
            <w:r>
              <w:rPr>
                <w:color w:val="008000"/>
              </w:rPr>
              <w:t>drugs[].rxcui</w:t>
            </w:r>
          </w:p>
        </w:tc>
        <w:tc>
          <w:tcPr>
            <w:tcW w:type="dxa" w:w="2160"/>
          </w:tcPr>
          <w:p>
            <w:r/>
            <w:r>
              <w:rPr>
                <w:color w:val="008000"/>
              </w:rPr>
              <w:t>string</w:t>
            </w:r>
          </w:p>
        </w:tc>
        <w:tc>
          <w:tcPr>
            <w:tcW w:type="dxa" w:w="2160"/>
          </w:tcPr>
          <w:p>
            <w:r/>
            <w:r>
              <w:rPr>
                <w:color w:val="008000"/>
              </w:rPr>
              <w:t>no</w:t>
            </w:r>
          </w:p>
        </w:tc>
        <w:tc>
          <w:tcPr>
            <w:tcW w:type="dxa" w:w="2160"/>
          </w:tcPr>
          <w:p>
            <w:r/>
            <w:r>
              <w:rPr>
                <w:color w:val="008000"/>
              </w:rPr>
            </w:r>
          </w:p>
        </w:tc>
      </w:tr>
      <w:tr>
        <w:tc>
          <w:tcPr>
            <w:tcW w:type="dxa" w:w="2160"/>
          </w:tcPr>
          <w:p>
            <w:r/>
            <w:r>
              <w:rPr>
                <w:color w:val="008000"/>
              </w:rPr>
              <w:t>drugs[].molecule</w:t>
            </w:r>
          </w:p>
        </w:tc>
        <w:tc>
          <w:tcPr>
            <w:tcW w:type="dxa" w:w="2160"/>
          </w:tcPr>
          <w:p>
            <w:r/>
            <w:r>
              <w:rPr>
                <w:color w:val="008000"/>
              </w:rPr>
              <w:t>string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drugs[].provider_count</w:t>
            </w:r>
          </w:p>
        </w:tc>
        <w:tc>
          <w:tcPr>
            <w:tcW w:type="dxa" w:w="2160"/>
          </w:tcPr>
          <w:p>
            <w:r/>
            <w:r>
              <w:rPr>
                <w:color w:val="008000"/>
              </w:rPr>
              <w:t>integer (≥0)</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drugs[].total_claims</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drugs[].beneficiary_count</w:t>
            </w:r>
          </w:p>
        </w:tc>
        <w:tc>
          <w:tcPr>
            <w:tcW w:type="dxa" w:w="2160"/>
          </w:tcPr>
          <w:p>
            <w:r/>
            <w:r>
              <w:rPr>
                <w:color w:val="008000"/>
              </w:rPr>
              <w:t>integer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drugs[].total_cost</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drugs[].days_supply_mean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drugs[].days_supply_median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drugs[].days_supply_quintiles</w:t>
            </w:r>
          </w:p>
        </w:tc>
        <w:tc>
          <w:tcPr>
            <w:tcW w:type="dxa" w:w="2160"/>
          </w:tcPr>
          <w:p>
            <w:r/>
            <w:r>
              <w:rPr>
                <w:color w:val="008000"/>
              </w:rPr>
              <w:t>array[number] (exactly 4)</w:t>
            </w:r>
          </w:p>
        </w:tc>
        <w:tc>
          <w:tcPr>
            <w:tcW w:type="dxa" w:w="2160"/>
          </w:tcPr>
          <w:p>
            <w:r/>
            <w:r>
              <w:rPr>
                <w:color w:val="008000"/>
              </w:rPr>
              <w:t>no</w:t>
            </w:r>
          </w:p>
        </w:tc>
        <w:tc>
          <w:tcPr>
            <w:tcW w:type="dxa" w:w="2160"/>
          </w:tcPr>
          <w:p>
            <w:r/>
            <w:r>
              <w:rPr>
                <w:color w:val="008000"/>
              </w:rPr>
              <w:t>four quintile cut-points defining five tiers</w:t>
            </w:r>
          </w:p>
        </w:tc>
      </w:tr>
      <w:tr>
        <w:tc>
          <w:tcPr>
            <w:tcW w:type="dxa" w:w="2160"/>
          </w:tcPr>
          <w:p>
            <w:r/>
            <w:r>
              <w:rPr>
                <w:color w:val="008000"/>
              </w:rPr>
              <w:t>indications</w:t>
            </w:r>
          </w:p>
        </w:tc>
        <w:tc>
          <w:tcPr>
            <w:tcW w:type="dxa" w:w="2160"/>
          </w:tcPr>
          <w:p>
            <w:r/>
            <w:r>
              <w:rPr>
                <w:color w:val="008000"/>
              </w:rPr>
              <w:t>array[object]</w:t>
            </w:r>
          </w:p>
        </w:tc>
        <w:tc>
          <w:tcPr>
            <w:tcW w:type="dxa" w:w="2160"/>
          </w:tcPr>
          <w:p>
            <w:r/>
            <w:r>
              <w:rPr>
                <w:color w:val="008000"/>
              </w:rPr>
              <w:t>no</w:t>
            </w:r>
          </w:p>
        </w:tc>
        <w:tc>
          <w:tcPr>
            <w:tcW w:type="dxa" w:w="2160"/>
          </w:tcPr>
          <w:p>
            <w:r/>
            <w:r>
              <w:rPr>
                <w:color w:val="008000"/>
              </w:rPr>
              <w:t>object required: indication_id</w:t>
            </w:r>
          </w:p>
        </w:tc>
      </w:tr>
      <w:tr>
        <w:tc>
          <w:tcPr>
            <w:tcW w:type="dxa" w:w="2160"/>
          </w:tcPr>
          <w:p>
            <w:r/>
            <w:r>
              <w:rPr>
                <w:color w:val="008000"/>
              </w:rPr>
              <w:t>indications[].indication_id</w:t>
            </w:r>
          </w:p>
        </w:tc>
        <w:tc>
          <w:tcPr>
            <w:tcW w:type="dxa" w:w="2160"/>
          </w:tcPr>
          <w:p>
            <w:r/>
            <w:r>
              <w:rPr>
                <w:color w:val="008000"/>
              </w:rPr>
              <w:t>string</w:t>
            </w:r>
          </w:p>
        </w:tc>
        <w:tc>
          <w:tcPr>
            <w:tcW w:type="dxa" w:w="2160"/>
          </w:tcPr>
          <w:p>
            <w:r/>
            <w:r>
              <w:rPr>
                <w:color w:val="008000"/>
              </w:rPr>
              <w:t>yes</w:t>
            </w:r>
          </w:p>
        </w:tc>
        <w:tc>
          <w:tcPr>
            <w:tcW w:type="dxa" w:w="2160"/>
          </w:tcPr>
          <w:p>
            <w:r/>
            <w:r>
              <w:rPr>
                <w:color w:val="008000"/>
              </w:rPr>
            </w:r>
          </w:p>
        </w:tc>
      </w:tr>
      <w:tr>
        <w:tc>
          <w:tcPr>
            <w:tcW w:type="dxa" w:w="2160"/>
          </w:tcPr>
          <w:p>
            <w:r/>
            <w:r>
              <w:rPr>
                <w:color w:val="008000"/>
              </w:rPr>
              <w:t>indications[].provider_count</w:t>
            </w:r>
          </w:p>
        </w:tc>
        <w:tc>
          <w:tcPr>
            <w:tcW w:type="dxa" w:w="2160"/>
          </w:tcPr>
          <w:p>
            <w:r/>
            <w:r>
              <w:rPr>
                <w:color w:val="008000"/>
              </w:rPr>
              <w:t>integer (≥0)</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indications[].days_supply_mean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indications[].days_supply_median</w:t>
            </w:r>
          </w:p>
        </w:tc>
        <w:tc>
          <w:tcPr>
            <w:tcW w:type="dxa" w:w="2160"/>
          </w:tcPr>
          <w:p>
            <w:r/>
            <w:r>
              <w:rPr>
                <w:color w:val="008000"/>
              </w:rPr>
              <w:t>number | null</w:t>
            </w:r>
          </w:p>
        </w:tc>
        <w:tc>
          <w:tcPr>
            <w:tcW w:type="dxa" w:w="2160"/>
          </w:tcPr>
          <w:p>
            <w:r/>
            <w:r>
              <w:rPr>
                <w:color w:val="008000"/>
              </w:rPr>
              <w:t>no</w:t>
            </w:r>
          </w:p>
        </w:tc>
        <w:tc>
          <w:tcPr>
            <w:tcW w:type="dxa" w:w="2160"/>
          </w:tcPr>
          <w:p>
            <w:r/>
            <w:r>
              <w:rPr>
                <w:color w:val="008000"/>
              </w:rPr>
            </w:r>
          </w:p>
        </w:tc>
      </w:tr>
      <w:tr>
        <w:tc>
          <w:tcPr>
            <w:tcW w:type="dxa" w:w="2160"/>
          </w:tcPr>
          <w:p>
            <w:r/>
            <w:r>
              <w:rPr>
                <w:color w:val="008000"/>
              </w:rPr>
              <w:t>indications[].days_supply_quintiles</w:t>
            </w:r>
          </w:p>
        </w:tc>
        <w:tc>
          <w:tcPr>
            <w:tcW w:type="dxa" w:w="2160"/>
          </w:tcPr>
          <w:p>
            <w:r/>
            <w:r>
              <w:rPr>
                <w:color w:val="008000"/>
              </w:rPr>
              <w:t>array[number] (exactly 4)</w:t>
            </w:r>
          </w:p>
        </w:tc>
        <w:tc>
          <w:tcPr>
            <w:tcW w:type="dxa" w:w="2160"/>
          </w:tcPr>
          <w:p>
            <w:r/>
            <w:r>
              <w:rPr>
                <w:color w:val="008000"/>
              </w:rPr>
              <w:t>no</w:t>
            </w:r>
          </w:p>
        </w:tc>
        <w:tc>
          <w:tcPr>
            <w:tcW w:type="dxa" w:w="2160"/>
          </w:tcPr>
          <w:p>
            <w:r/>
            <w:r>
              <w:rPr>
                <w:color w:val="008000"/>
              </w:rPr>
              <w:t>four quintile cut-points defining five tiers</w:t>
            </w:r>
          </w:p>
        </w:tc>
      </w:tr>
      <w:tr>
        <w:tc>
          <w:tcPr>
            <w:tcW w:type="dxa" w:w="2160"/>
          </w:tcPr>
          <w:p>
            <w:r/>
            <w:r>
              <w:rPr>
                <w:color w:val="008000"/>
              </w:rPr>
              <w:t>indications_served</w:t>
            </w:r>
          </w:p>
        </w:tc>
        <w:tc>
          <w:tcPr>
            <w:tcW w:type="dxa" w:w="2160"/>
          </w:tcPr>
          <w:p>
            <w:r/>
            <w:r>
              <w:rPr>
                <w:color w:val="008000"/>
              </w:rPr>
              <w:t>array[string]</w:t>
            </w:r>
          </w:p>
        </w:tc>
        <w:tc>
          <w:tcPr>
            <w:tcW w:type="dxa" w:w="2160"/>
          </w:tcPr>
          <w:p>
            <w:r/>
            <w:r>
              <w:rPr>
                <w:color w:val="008000"/>
              </w:rPr>
              <w:t>no</w:t>
            </w:r>
          </w:p>
        </w:tc>
        <w:tc>
          <w:tcPr>
            <w:tcW w:type="dxa" w:w="2160"/>
          </w:tcPr>
          <w:p>
            <w:r/>
            <w:r>
              <w:rPr>
                <w:color w:val="008000"/>
              </w:rPr>
            </w:r>
          </w:p>
        </w:tc>
      </w:tr>
    </w:tbl>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7173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7173727"/>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w:t>
      </w:r>
      <w:r>
        <w:rPr>
          <w:color w:val="008000"/>
        </w:rPr>
        <w:t>The fdaProductToDiagnosisResolution</w:t>
      </w:r>
      <w:r>
        <w:t xml:space="preserve">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 xml:space="preserve">III.5. </w:t>
      </w:r>
      <w:r>
        <w:rPr>
          <w:color w:val="008000"/>
        </w:rPr>
        <w:t>fdaProductToDiagnosisResolution</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 xml:space="preserve">The Medicare pipeline's one LLM use is building the product → indication associations of </w:t>
      </w:r>
      <w:r>
        <w:rPr>
          <w:color w:val="008000"/>
        </w:rPr>
        <w:t>the fdaProductToDiagnosisResolution</w:t>
      </w:r>
      <w:r>
        <w:t>.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pPr>
        <w:pStyle w:val="Heading2"/>
      </w:pPr>
      <w:r>
        <w:rPr>
          <w:color w:val="FF0000"/>
        </w:rPr>
        <w:t>III.8 Medicare implementation detail — how each delegated step is realized</w:t>
      </w:r>
    </w:p>
    <w:p>
      <w:pPr/>
      <w:r>
        <w:rPr>
          <w:color w:val="FF0000"/>
        </w:rPr>
        <w:t xml:space="preserve">The generic infrastructure (Part I) owns only the generic run lifecycle. This section specifies the Medicare-specific material the framework cannot know: the source set, the step DAG, the fan-out keys, the record-build and enrichment engines, the </w:t>
      </w:r>
      <w:r>
        <w:rPr>
          <w:color w:val="008000"/>
        </w:rPr>
        <w:t>fdaProductToDiagnosisResolution</w:t>
      </w:r>
      <w:r>
        <w:rPr>
          <w:color w:val="FF0000"/>
        </w:rPr>
        <w:t xml:space="preserve"> build, the SpecialtyMedicare rollup, and the three record contracts. Every claim is from the current source.</w:t>
      </w:r>
    </w:p>
    <w:p>
      <w:pPr>
        <w:pStyle w:val="Heading3"/>
      </w:pPr>
      <w:r>
        <w:rPr>
          <w:color w:val="FF0000"/>
        </w:rPr>
        <w:t>Purpose and position on the generic lifecycle</w:t>
      </w:r>
    </w:p>
    <w:p>
      <w:pPr/>
      <w:r>
        <w:rPr>
          <w:color w:val="FF0000"/>
        </w:rPr>
        <w:t xml:space="preserve">The Medicare pipeline is a concrete instance of the generic run lifecycle (EPIC-010-F-001). MedicareProviderEvaluationOrchestrator (medicare_orchestrator.py) declares PIPELINE_NAME = "medicare" and subclasses BasePipelineOrchestrator. Everything Part I owns — admission, the two-VM controller+worker compute, fan-out, work-item claiming, progress/heartbeat recording, release, cluster wake/pause — is inherited unchanged. It publishes three collections in PipelinePublicHealthData: ProviderMedicare (one doc per NPI), SpecialtyMedicare (one doc per NUCC code), </w:t>
      </w:r>
      <w:r>
        <w:rPr>
          <w:color w:val="008000"/>
        </w:rPr>
        <w:t>fdaProductToDiagnosisResolution</w:t>
      </w:r>
      <w:r>
        <w:rPr>
          <w:color w:val="FF0000"/>
        </w:rPr>
        <w:t xml:space="preserve"> (one doc per CCSR category).</w:t>
      </w:r>
    </w:p>
    <w:p>
      <w:pPr/>
      <w:r>
        <w:rPr>
          <w:b/>
          <w:color w:val="FF0000"/>
        </w:rPr>
        <w:t xml:space="preserve">Flag — </w:t>
      </w:r>
      <w:r>
        <w:rPr>
          <w:color w:val="FF0000"/>
        </w:rPr>
        <w:t>Stale docstrings. The module docstrings of medicare_orchestrator.py and control_runner.py still describe the step runners as "Slice 1 scaffold … registry-resolved stubs" whose engines "land in later slices." That is no longer true — every step runner dispatches a real engine. The "stub" language is leftover and must not be read as current behavior.</w:t>
      </w:r>
    </w:p>
    <w:p>
      <w:pPr>
        <w:pStyle w:val="Heading4"/>
      </w:pPr>
      <w:r>
        <w:rPr>
          <w:color w:val="FF0000"/>
        </w:rPr>
        <w:t>Controller entry and Medicare-specific invocation</w:t>
      </w:r>
    </w:p>
    <w:p>
      <w:pPr/>
      <w:r>
        <w:rPr>
          <w:color w:val="FF0000"/>
        </w:rPr>
        <w:t>control_runner.py is the controller entry point, running in the pipeline image on the Controller VM. Beyond the generic args (--run-id, --env-prefix, --states, --resume-from-step, --data-version) it adds one Medicare flag: --build-indication-map (env BUILD_INDICATION_MAP, default off), exported to os.environ so Worker subprocesses and the build_indication_map step see it. Off = a normal run consumes the current published map; on = the run mines a rebuild candidate. --data-version is mandatory (reads DATA_VERSION if the flag is omitted). The controller starts the :6969 mTLS run-status listener, starts a 60s heartbeat daemon (controller_heartbeat_at, controller_pid, vm_name to pipelineAdmin.pipeline.runs; renews the cluster_lifecycle reservation by two hours), wakes the paused pipeline cluster via atlas_cluster_manager.resume_cluster, builds the orchestrator with a pipelineEditor connection to ChatHealthyDataPipelines, and runs it. All Mongo handles go through ChatHealthyMongoUtilities().getConnection("pipelineEditor", …) with hardcoded literals. The finally block runs the generic release chain (fatal_on_worker_log_db_reports, kill_active_workers on non-success, quiesce_mongo_state, empty_pipeline_staging on success, pause_pipeline_cluster, fire_farewell_vm_delete).</w:t>
      </w:r>
    </w:p>
    <w:p>
      <w:pPr/>
      <w:r>
        <w:rPr>
          <w:b/>
          <w:color w:val="FF0000"/>
        </w:rPr>
        <w:t xml:space="preserve">Flag — </w:t>
      </w:r>
      <w:r>
        <w:rPr>
          <w:color w:val="FF0000"/>
        </w:rPr>
        <w:t>Discrepancy report not emitted. control_runner.py carries an explicit TODO in the finally block: the Medicare discrepancy report — one per run on success or abend, counting the three Medicare collections — is deferred and is NOT emitted today. The generic worker-log-DB fatal report still fires; the Medicare operational report required by EPIC-010-F-001-S-008 does not.</w:t>
      </w:r>
    </w:p>
    <w:p>
      <w:pPr>
        <w:pStyle w:val="Heading4"/>
      </w:pPr>
      <w:r>
        <w:rPr>
          <w:color w:val="FF0000"/>
        </w:rPr>
        <w:t>Trigger tier and two-VM topology</w:t>
      </w:r>
    </w:p>
    <w:p>
      <w:pPr/>
      <w:r>
        <w:rPr>
          <w:color w:val="FF0000"/>
        </w:rPr>
        <w:t>medicare_pipeline_runbook.py is the Azure Automation trigger tier. It creates a Controller VM (not a combined run VM): parse the webhook payload (data_version mandatory int &gt;= 1; build_indication_map and states optional; states defaults to ["ALL"] with the provider legality rules), acquire the per-pipeline lock pipeline_lock:medicare in cluster_lifecycle (refusing a second concurrent run), write the run manifest, reserve the run and resume the cluster in one step (_reserve_and_resume_cluster, reservation first so its lease covers the wake), ARM-PUT one Controller VM, exit without waiting. The Controller VM cloud-init runs control_runner.py with WORKER_COMPUTE=vm, so the Controller provisions Worker VMs at fan-out. It carries pipelineController credentials (ARM Worker-VM creation + Mongo cert auth) and hands pipelineEditor credentials to the Worker VMs. On controller exit 0 the VM self-deletes; on non-zero it is kept so the crash log survives.</w:t>
      </w:r>
    </w:p>
    <w:p>
      <w:pPr>
        <w:pStyle w:val="Heading3"/>
      </w:pPr>
      <w:r>
        <w:rPr>
          <w:color w:val="FF0000"/>
        </w:rPr>
        <w:t>Data model</w:t>
      </w:r>
    </w:p>
    <w:p>
      <w:pPr>
        <w:pStyle w:val="Heading4"/>
      </w:pPr>
      <w:r>
        <w:rPr>
          <w:color w:val="FF0000"/>
        </w:rPr>
        <w:t>ProviderMedicare (ChatHealthyProviderMedicareSchema.json)</w:t>
      </w:r>
    </w:p>
    <w:p>
      <w:pPr/>
      <w:r>
        <w:rPr>
          <w:color w:val="FF0000"/>
        </w:rPr>
        <w:t>One doc per NPI. _id and npi are the 10-digit NPI. Required: _id, entity_type ("I"|"O"), specialty (array of NUCC codes). Carries provider_state (the business-address state it was fanned under), run_id, data_version. The record holds the provider's own Medicare figures only — never specialty aggregates or tier cut-points (those live on SpecialtyMedicare). Two kinds of facts: procedures[] (Part B billed services: hcpcs, descriptor, service_count, beneficiary_count, submitted/allowed/paid amounts, plus enrichment allowed_icd10[], justification_kind, justification_source); drugs[] (Part D: brand, generic, total_claims, days_supply, beneficiary_count, total_drug_cost, plus enrichment rxcui, molecule, parent_indications[]). indications[] carries the provider's own per-indication day-supply rollup. Org-only fields ccn (string) and size_tier (1–5 or null) are written by org enrichment; the schema forbids null ccn, so the base build omits both rather than writing nulls.</w:t>
      </w:r>
    </w:p>
    <w:p>
      <w:pPr/>
      <w:r>
        <w:rPr>
          <w:b/>
          <w:color w:val="FF0000"/>
        </w:rPr>
        <w:t xml:space="preserve">Flag — </w:t>
      </w:r>
      <w:r>
        <w:rPr>
          <w:color w:val="FF0000"/>
        </w:rPr>
        <w:t>year never populated. procedures[] and drugs[] declare an optional year integer, but no engine writes it; the field is always absent.</w:t>
      </w:r>
    </w:p>
    <w:p>
      <w:pPr>
        <w:pStyle w:val="Heading4"/>
      </w:pPr>
      <w:r>
        <w:rPr>
          <w:color w:val="FF0000"/>
        </w:rPr>
        <w:t>SpecialtyMedicare (ChatHealthySpecialtyMedicareSchema.json)</w:t>
      </w:r>
    </w:p>
    <w:p>
      <w:pPr/>
      <w:r>
        <w:rPr>
          <w:color w:val="FF0000"/>
        </w:rPr>
        <w:t>One doc per NUCC code. Required: _id (NUCC), provider_count (number of providers carrying this NUCC in any taxonomy slot — not only those in the Medicare rollup). Carries run_id, data_version, optional embedding + embedding_model, and three aggregate arrays: procedures[] (per HCPCS: provider_count, service_count, beneficiary_count, allowed_amount); drugs[] (per rxcui/molecule: provider_count, total_claims, beneficiary_count, total_cost, plus the day-supply benchmark days_supply_mean/median/quintiles — exactly four cut-points); indications[] (per indication: provider_count, same benchmark triple). The four quintile cut-points define the five tiers a provider is placed into at evaluation; these benchmark figures live only on SpecialtyMedicare. indications_served[] lists the indication ids the specialty touches.</w:t>
      </w:r>
    </w:p>
    <w:p>
      <w:pPr>
        <w:pStyle w:val="Heading4"/>
      </w:pPr>
      <w:r>
        <w:rPr>
          <w:color w:val="FF0000"/>
        </w:rPr>
      </w:r>
      <w:r>
        <w:rPr>
          <w:color w:val="008000"/>
        </w:rPr>
        <w:t>fdaProductToDiagnosisResolution</w:t>
      </w:r>
      <w:r>
        <w:rPr>
          <w:color w:val="FF0000"/>
        </w:rPr>
        <w:t xml:space="preserve"> (ChatHealthyNormalizedIndicationMapSchema.json)</w:t>
      </w:r>
    </w:p>
    <w:p>
      <w:pPr/>
      <w:r>
        <w:rPr>
          <w:color w:val="FF0000"/>
        </w:rPr>
        <w:t>One doc per indication (CCSR category). Required: _id (= indication_id), parent_indication. Hierarchy disease_class (CCSR body-system superclass) -&gt; parent_indication (CCSR clinical category) -&gt; member_icd10[] (ICD-10-CM leaves) is adopted from published vocabularies, not manufactured. member_icd10[] items carry icd10 + justification_source. molecules[] items carry rxcui, ingredient, justification_source, justification_kind (mined deterministic vs residual-LLM inference), and trust (0..1, present only on residual-LLM facts).</w:t>
      </w:r>
    </w:p>
    <w:p>
      <w:pPr/>
      <w:r>
        <w:rPr>
          <w:b/>
          <w:color w:val="FF0000"/>
        </w:rPr>
        <w:t xml:space="preserve">Flag — </w:t>
      </w:r>
      <w:r>
        <w:rPr>
          <w:color w:val="FF0000"/>
        </w:rPr>
        <w:t>Schema/engine source-name drift. The schema descriptions name "Coverage DB / UMLS" for member_icd10.justification_source and molecules.justification_source. The engine actually writes "CCSR" for every member_icd10 and "fda_label" for every mined molecule. No UMLS crosswalk or Coverage-DB ICD-10 list feeds the map's member_icd10; the ICD-10-&gt;indication membership is CCSR-sourced only.</w:t>
      </w:r>
    </w:p>
    <w:p>
      <w:pPr>
        <w:pStyle w:val="Heading3"/>
      </w:pPr>
      <w:r>
        <w:rPr>
          <w:color w:val="FF0000"/>
        </w:rPr>
        <w:t>Sources</w:t>
      </w:r>
    </w:p>
    <w:p>
      <w:pPr/>
      <w:r>
        <w:rPr>
          <w:color w:val="FF0000"/>
        </w:rPr>
        <w:t>The Medicare instance declares its source set on the orchestrator and the per-env dataset_versions[] of pipeline_config.json. Acquisition stays declarative: each fetched source resolves its download URL through the shared registry, which runs the url-discovery worker from a declared page_url + instructions (all Medicare sources use url-discovery, not a stable env URL). FETCH_SOURCES = medicare_partb, medicare_partd, ccsr, icd10_cm, openfda_labels, medicare_pos, medicare_coverage_hcpc. LOAD_SOURCES = FETCH_SOURCES + medicare_coverage_icd10 (the Coverage DB ICD-10 table is a bundled extractor, loaded not fetched).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0000"/>
              </w:rPr>
              <w:t>source_name</w:t>
            </w:r>
          </w:p>
        </w:tc>
        <w:tc>
          <w:tcPr>
            <w:tcW w:type="dxa" w:w="2160"/>
          </w:tcPr>
          <w:p>
            <w:r>
              <w:rPr>
                <w:b/>
                <w:color w:val="FF0000"/>
              </w:rPr>
              <w:t>fetch (page_url + url-discovery)</w:t>
            </w:r>
          </w:p>
        </w:tc>
        <w:tc>
          <w:tcPr>
            <w:tcW w:type="dxa" w:w="2160"/>
          </w:tcPr>
          <w:p>
            <w:r>
              <w:rPr>
                <w:b/>
                <w:color w:val="FF0000"/>
              </w:rPr>
              <w:t>file_format</w:t>
            </w:r>
          </w:p>
        </w:tc>
        <w:tc>
          <w:tcPr>
            <w:tcW w:type="dxa" w:w="2160"/>
          </w:tcPr>
          <w:p>
            <w:r>
              <w:rPr>
                <w:b/>
                <w:color w:val="FF0000"/>
              </w:rPr>
              <w:t>staging / public</w:t>
            </w:r>
          </w:p>
        </w:tc>
      </w:tr>
      <w:tr>
        <w:tc>
          <w:tcPr>
            <w:tcW w:type="dxa" w:w="2160"/>
          </w:tcPr>
          <w:p>
            <w:r>
              <w:rPr>
                <w:color w:val="FF0000"/>
              </w:rPr>
              <w:t>medicare_partb</w:t>
            </w:r>
          </w:p>
        </w:tc>
        <w:tc>
          <w:tcPr>
            <w:tcW w:type="dxa" w:w="2160"/>
          </w:tcPr>
          <w:p>
            <w:r>
              <w:rPr>
                <w:color w:val="FF0000"/>
              </w:rPr>
              <w:t>CMS Physician &amp; Other Practitioners by Provider and Service, latest annual CSV</w:t>
            </w:r>
          </w:p>
        </w:tc>
        <w:tc>
          <w:tcPr>
            <w:tcW w:type="dxa" w:w="2160"/>
          </w:tcPr>
          <w:p>
            <w:r>
              <w:rPr>
                <w:color w:val="FF0000"/>
              </w:rPr>
              <w:t>csv</w:t>
            </w:r>
          </w:p>
        </w:tc>
        <w:tc>
          <w:tcPr>
            <w:tcW w:type="dxa" w:w="2160"/>
          </w:tcPr>
          <w:p>
            <w:r>
              <w:rPr>
                <w:color w:val="FF0000"/>
              </w:rPr>
              <w:t>StagingMedicarePartB / MedicarePartB</w:t>
            </w:r>
          </w:p>
        </w:tc>
      </w:tr>
      <w:tr>
        <w:tc>
          <w:tcPr>
            <w:tcW w:type="dxa" w:w="2160"/>
          </w:tcPr>
          <w:p>
            <w:r>
              <w:rPr>
                <w:color w:val="FF0000"/>
              </w:rPr>
              <w:t>medicare_partd</w:t>
            </w:r>
          </w:p>
        </w:tc>
        <w:tc>
          <w:tcPr>
            <w:tcW w:type="dxa" w:w="2160"/>
          </w:tcPr>
          <w:p>
            <w:r>
              <w:rPr>
                <w:color w:val="FF0000"/>
              </w:rPr>
              <w:t>CMS Part D Prescribers by Provider and Drug, latest annual CSV</w:t>
            </w:r>
          </w:p>
        </w:tc>
        <w:tc>
          <w:tcPr>
            <w:tcW w:type="dxa" w:w="2160"/>
          </w:tcPr>
          <w:p>
            <w:r>
              <w:rPr>
                <w:color w:val="FF0000"/>
              </w:rPr>
              <w:t>csv</w:t>
            </w:r>
          </w:p>
        </w:tc>
        <w:tc>
          <w:tcPr>
            <w:tcW w:type="dxa" w:w="2160"/>
          </w:tcPr>
          <w:p>
            <w:r>
              <w:rPr>
                <w:color w:val="FF0000"/>
              </w:rPr>
              <w:t>StagingMedicarePartD / MedicarePartD</w:t>
            </w:r>
          </w:p>
        </w:tc>
      </w:tr>
      <w:tr>
        <w:tc>
          <w:tcPr>
            <w:tcW w:type="dxa" w:w="2160"/>
          </w:tcPr>
          <w:p>
            <w:r>
              <w:rPr>
                <w:color w:val="FF0000"/>
              </w:rPr>
              <w:t>ccsr</w:t>
            </w:r>
          </w:p>
        </w:tc>
        <w:tc>
          <w:tcPr>
            <w:tcW w:type="dxa" w:w="2160"/>
          </w:tcPr>
          <w:p>
            <w:r>
              <w:rPr>
                <w:color w:val="FF0000"/>
              </w:rPr>
              <w:t>AHRQ HCUP DXCCSR (diagnosis CCSR) zip</w:t>
            </w:r>
          </w:p>
        </w:tc>
        <w:tc>
          <w:tcPr>
            <w:tcW w:type="dxa" w:w="2160"/>
          </w:tcPr>
          <w:p>
            <w:r>
              <w:rPr>
                <w:color w:val="FF0000"/>
              </w:rPr>
              <w:t>zip_containing_csv</w:t>
            </w:r>
          </w:p>
        </w:tc>
        <w:tc>
          <w:tcPr>
            <w:tcW w:type="dxa" w:w="2160"/>
          </w:tcPr>
          <w:p>
            <w:r>
              <w:rPr>
                <w:color w:val="FF0000"/>
              </w:rPr>
              <w:t>StagingCcsr / Ccsr</w:t>
            </w:r>
          </w:p>
        </w:tc>
      </w:tr>
      <w:tr>
        <w:tc>
          <w:tcPr>
            <w:tcW w:type="dxa" w:w="2160"/>
          </w:tcPr>
          <w:p>
            <w:r>
              <w:rPr>
                <w:color w:val="FF0000"/>
              </w:rPr>
              <w:t>icd10_cm</w:t>
            </w:r>
          </w:p>
        </w:tc>
        <w:tc>
          <w:tcPr>
            <w:tcW w:type="dxa" w:w="2160"/>
          </w:tcPr>
          <w:p>
            <w:r>
              <w:rPr>
                <w:color w:val="FF0000"/>
              </w:rPr>
              <w:t>CMS ICD-10-CM code-descriptions tabular-order zip</w:t>
            </w:r>
          </w:p>
        </w:tc>
        <w:tc>
          <w:tcPr>
            <w:tcW w:type="dxa" w:w="2160"/>
          </w:tcPr>
          <w:p>
            <w:r>
              <w:rPr>
                <w:color w:val="FF0000"/>
              </w:rPr>
              <w:t>zip_containing_csv</w:t>
            </w:r>
          </w:p>
        </w:tc>
        <w:tc>
          <w:tcPr>
            <w:tcW w:type="dxa" w:w="2160"/>
          </w:tcPr>
          <w:p>
            <w:r>
              <w:rPr>
                <w:color w:val="FF0000"/>
              </w:rPr>
              <w:t>StagingIcd10Cm / Icd10Cm</w:t>
            </w:r>
          </w:p>
        </w:tc>
      </w:tr>
      <w:tr>
        <w:tc>
          <w:tcPr>
            <w:tcW w:type="dxa" w:w="2160"/>
          </w:tcPr>
          <w:p>
            <w:r>
              <w:rPr>
                <w:color w:val="FF0000"/>
              </w:rPr>
              <w:t>openfda_labels</w:t>
            </w:r>
          </w:p>
        </w:tc>
        <w:tc>
          <w:tcPr>
            <w:tcW w:type="dxa" w:w="2160"/>
          </w:tcPr>
          <w:p>
            <w:r>
              <w:rPr>
                <w:color w:val="FF0000"/>
              </w:rPr>
              <w:t>openFDA drug-label first partition (.json.zip) from the download manifest</w:t>
            </w:r>
          </w:p>
        </w:tc>
        <w:tc>
          <w:tcPr>
            <w:tcW w:type="dxa" w:w="2160"/>
          </w:tcPr>
          <w:p>
            <w:r>
              <w:rPr>
                <w:color w:val="FF0000"/>
              </w:rPr>
              <w:t>zip_containing_json</w:t>
            </w:r>
          </w:p>
        </w:tc>
        <w:tc>
          <w:tcPr>
            <w:tcW w:type="dxa" w:w="2160"/>
          </w:tcPr>
          <w:p>
            <w:r>
              <w:rPr>
                <w:color w:val="FF0000"/>
              </w:rPr>
              <w:t>StagingOpenFdaLabels / OpenFdaLabels</w:t>
            </w:r>
          </w:p>
        </w:tc>
      </w:tr>
      <w:tr>
        <w:tc>
          <w:tcPr>
            <w:tcW w:type="dxa" w:w="2160"/>
          </w:tcPr>
          <w:p>
            <w:r>
              <w:rPr>
                <w:color w:val="FF0000"/>
              </w:rPr>
              <w:t>medicare_pos</w:t>
            </w:r>
          </w:p>
        </w:tc>
        <w:tc>
          <w:tcPr>
            <w:tcW w:type="dxa" w:w="2160"/>
          </w:tcPr>
          <w:p>
            <w:r>
              <w:rPr>
                <w:color w:val="FF0000"/>
              </w:rPr>
              <w:t>CMS Provider-of-Services File (Hospital &amp; Non-Hospital), latest quarterly CSV; CCN + certified bed count</w:t>
            </w:r>
          </w:p>
        </w:tc>
        <w:tc>
          <w:tcPr>
            <w:tcW w:type="dxa" w:w="2160"/>
          </w:tcPr>
          <w:p>
            <w:r>
              <w:rPr>
                <w:color w:val="FF0000"/>
              </w:rPr>
              <w:t>csv</w:t>
            </w:r>
          </w:p>
        </w:tc>
        <w:tc>
          <w:tcPr>
            <w:tcW w:type="dxa" w:w="2160"/>
          </w:tcPr>
          <w:p>
            <w:r>
              <w:rPr>
                <w:color w:val="FF0000"/>
              </w:rPr>
              <w:t>StagingMedicarePos / MedicarePos</w:t>
            </w:r>
          </w:p>
        </w:tc>
      </w:tr>
      <w:tr>
        <w:tc>
          <w:tcPr>
            <w:tcW w:type="dxa" w:w="2160"/>
          </w:tcPr>
          <w:p>
            <w:r>
              <w:rPr>
                <w:color w:val="FF0000"/>
              </w:rPr>
              <w:t>medicare_coverage_hcpc</w:t>
            </w:r>
          </w:p>
        </w:tc>
        <w:tc>
          <w:tcPr>
            <w:tcW w:type="dxa" w:w="2160"/>
          </w:tcPr>
          <w:p>
            <w:r>
              <w:rPr>
                <w:color w:val="FF0000"/>
              </w:rPr>
              <w:t>Medicare Coverage Database article-level code-list zip; bundled_with medicare_coverage_db, archive_member hcpc</w:t>
            </w:r>
          </w:p>
        </w:tc>
        <w:tc>
          <w:tcPr>
            <w:tcW w:type="dxa" w:w="2160"/>
          </w:tcPr>
          <w:p>
            <w:r>
              <w:rPr>
                <w:color w:val="FF0000"/>
              </w:rPr>
              <w:t>pipe_delimited</w:t>
            </w:r>
          </w:p>
        </w:tc>
        <w:tc>
          <w:tcPr>
            <w:tcW w:type="dxa" w:w="2160"/>
          </w:tcPr>
          <w:p>
            <w:r>
              <w:rPr>
                <w:color w:val="FF0000"/>
              </w:rPr>
              <w:t>StagingMedicareCoverageHcpc / MedicareCoverageHcpc</w:t>
            </w:r>
          </w:p>
        </w:tc>
      </w:tr>
      <w:tr>
        <w:tc>
          <w:tcPr>
            <w:tcW w:type="dxa" w:w="2160"/>
          </w:tcPr>
          <w:p>
            <w:r>
              <w:rPr>
                <w:color w:val="FF0000"/>
              </w:rPr>
              <w:t>medicare_coverage_icd10</w:t>
            </w:r>
          </w:p>
        </w:tc>
        <w:tc>
          <w:tcPr>
            <w:tcW w:type="dxa" w:w="2160"/>
          </w:tcPr>
          <w:p>
            <w:r>
              <w:rPr>
                <w:color w:val="FF0000"/>
              </w:rPr>
              <w:t>(bundled, no fetch) bundled_with medicare_coverage_db, archive_member *icd10*</w:t>
            </w:r>
          </w:p>
        </w:tc>
        <w:tc>
          <w:tcPr>
            <w:tcW w:type="dxa" w:w="2160"/>
          </w:tcPr>
          <w:p>
            <w:r>
              <w:rPr>
                <w:color w:val="FF0000"/>
              </w:rPr>
              <w:t>pipe_delimited</w:t>
            </w:r>
          </w:p>
        </w:tc>
        <w:tc>
          <w:tcPr>
            <w:tcW w:type="dxa" w:w="2160"/>
          </w:tcPr>
          <w:p>
            <w:r>
              <w:rPr>
                <w:color w:val="FF0000"/>
              </w:rPr>
              <w:t>StagingMedicareCoverageIcd10 / MedicareCoverageIcd10</w:t>
            </w:r>
          </w:p>
        </w:tc>
      </w:tr>
    </w:tbl>
    <w:p>
      <w:pPr/>
      <w:r>
        <w:rPr>
          <w:color w:val="FF0000"/>
        </w:rPr>
        <w:t>The derived collections providermedicare, specialtymedicare, indication_map are declared depends_on only (no fetch).</w:t>
      </w:r>
    </w:p>
    <w:p>
      <w:pPr>
        <w:pStyle w:val="Heading4"/>
      </w:pPr>
      <w:r>
        <w:rPr>
          <w:color w:val="FF0000"/>
        </w:rPr>
        <w:t>Freshness gate — medicare_source_freshness_gate.py</w:t>
      </w:r>
    </w:p>
    <w:p>
      <w:pPr/>
      <w:r>
        <w:rPr>
          <w:color w:val="FF0000"/>
        </w:rPr>
        <w:t>Serial, before fetch. Because Medicare sources resolve their URL through url-discovery (no cheap HEAD identity), the conservative decision is to fetch every source each run: it writes {decision:"fetch", reason:"url-discovery source, fetched each run"} per source into ctx.manifest.metrics["source_freshness"]. No external calls. (The provider gate, by contrast, does HEAD-identity comparison.)</w:t>
      </w:r>
    </w:p>
    <w:p>
      <w:pPr>
        <w:pStyle w:val="Heading4"/>
      </w:pPr>
      <w:r>
        <w:rPr>
          <w:color w:val="FF0000"/>
        </w:rPr>
        <w:t>Fetch — medicare_fetch_all_sources.py</w:t>
      </w:r>
    </w:p>
    <w:p>
      <w:pPr/>
      <w:r>
        <w:rPr>
          <w:color w:val="FF0000"/>
        </w:rPr>
        <w:t>Process-pool fanned by source_name_base. Each worker resolves its source URL via registry.resolve_source_url, applies the freshness decision, and drives the shared source_fetch_engine.fetch_all_sources, landing the blob to {env}-pipeline-transients. Bundled-source handling: the fetch owner (medicare_coverage_hcpc) also emits child specs for bundle members it does not own (medicare_coverage_icd10), keyed by the member's archive_member glob — the member cannot run as its own worker because the owner's blob is process-local. Results (blob_container, blob_path, versions) go to ctx.manifest.metrics["fetch_results"] and source_versions.</w:t>
      </w:r>
    </w:p>
    <w:p>
      <w:pPr>
        <w:pStyle w:val="Heading4"/>
      </w:pPr>
      <w:r>
        <w:rPr>
          <w:color w:val="FF0000"/>
        </w:rPr>
        <w:t>Archival — medicare_source_archival.py</w:t>
      </w:r>
    </w:p>
    <w:p>
      <w:pPr/>
      <w:r>
        <w:rPr>
          <w:color w:val="FF0000"/>
        </w:rPr>
        <w:t>Serial, after fetch. Delegates to the shared archive_sources (blob archival + DataSourceRegistry update); registry name defaults to the source name.</w:t>
      </w:r>
    </w:p>
    <w:p>
      <w:pPr>
        <w:pStyle w:val="Heading4"/>
      </w:pPr>
      <w:r>
        <w:rPr>
          <w:color w:val="FF0000"/>
        </w:rPr>
        <w:t>Staging load — medicare_load_staging.py</w:t>
      </w:r>
    </w:p>
    <w:p>
      <w:pPr/>
      <w:r>
        <w:rPr>
          <w:color w:val="FF0000"/>
        </w:rPr>
        <w:t>Process-pool fanned by source_name (over LOAD_SOURCES, including the bundled extractor). Each worker drives the shared staging_loader.load_staging. The loader token derives from file_format: csv-&gt;(csv,comma), tsv-&gt;(csv,tab), pipe_delimited-&gt;(csv,pipe), xlsx, json, zip_containing_csv-&gt;zip_csv, zip_containing_json-&gt;zip_json. Bundled resolution: the fetch owner still holds the whole zip, so its table extracts at load with zip_csv + the archive_member hint; a bundled extractor pulled flat at fetch loads as a plain delimited file. Each staged row carries the verbatim source row under doc["raw"], keyed by run_id. Blob coordinates come from the fetch result (absence is fatal).</w:t>
      </w:r>
    </w:p>
    <w:p>
      <w:pPr>
        <w:pStyle w:val="Heading3"/>
      </w:pPr>
      <w:r>
        <w:rPr>
          <w:color w:val="FF0000"/>
        </w:rPr>
        <w:t>Step DAG</w:t>
      </w:r>
    </w:p>
    <w:p>
      <w:pPr/>
      <w:r>
        <w:rPr>
          <w:color w:val="FF0000"/>
        </w:rPr>
        <w:t>MedicareProviderEvaluationOrchestrator.STEPS, with prerequisites, parallelism and fan-out key:</w:t>
      </w:r>
    </w:p>
    <w:p>
      <w:pPr>
        <w:pStyle w:val="ListNumber"/>
      </w:pPr>
      <w:r>
        <w:rPr>
          <w:color w:val="FF0000"/>
        </w:rPr>
        <w:t>prepare_infrastructure — serial (generic)</w:t>
      </w:r>
    </w:p>
    <w:p>
      <w:pPr>
        <w:pStyle w:val="ListNumber"/>
      </w:pPr>
      <w:r>
        <w:rPr>
          <w:color w:val="FF0000"/>
        </w:rPr>
        <w:t>medicare_source_freshness_gate — serial; after prepare</w:t>
      </w:r>
    </w:p>
    <w:p>
      <w:pPr>
        <w:pStyle w:val="ListNumber"/>
      </w:pPr>
      <w:r>
        <w:rPr>
          <w:color w:val="FF0000"/>
        </w:rPr>
        <w:t>medicare_fetch_all_sources — process_pool, partition_key=source_name_base; after freshness</w:t>
      </w:r>
    </w:p>
    <w:p>
      <w:pPr>
        <w:pStyle w:val="ListNumber"/>
      </w:pPr>
      <w:r>
        <w:rPr>
          <w:color w:val="FF0000"/>
        </w:rPr>
        <w:t>medicare_source_archival — serial; after fetch</w:t>
      </w:r>
    </w:p>
    <w:p>
      <w:pPr>
        <w:pStyle w:val="ListNumber"/>
      </w:pPr>
      <w:r>
        <w:rPr>
          <w:color w:val="FF0000"/>
        </w:rPr>
        <w:t>medicare_load_staging — process_pool, partition_key=source_name; after archival</w:t>
      </w:r>
    </w:p>
    <w:p>
      <w:pPr>
        <w:pStyle w:val="ListNumber"/>
      </w:pPr>
      <w:r>
        <w:rPr>
          <w:color w:val="FF0000"/>
        </w:rPr>
        <w:t>build_indication_map — serial; after load_staging; own cadence, gated by build_indication_map</w:t>
      </w:r>
    </w:p>
    <w:p>
      <w:pPr>
        <w:pStyle w:val="ListNumber"/>
      </w:pPr>
      <w:r>
        <w:rPr>
          <w:color w:val="FF0000"/>
        </w:rPr>
        <w:t>build_providermedicare_base — process_pool, partition_key=provider_state; after load_staging</w:t>
      </w:r>
    </w:p>
    <w:p>
      <w:pPr>
        <w:pStyle w:val="ListNumber"/>
      </w:pPr>
      <w:r>
        <w:rPr>
          <w:color w:val="FF0000"/>
        </w:rPr>
        <w:t>enrich_drugs — process_pool, partition_key=provider_state; after base AND build_indication_map</w:t>
      </w:r>
    </w:p>
    <w:p>
      <w:pPr>
        <w:pStyle w:val="ListNumber"/>
      </w:pPr>
      <w:r>
        <w:rPr>
          <w:color w:val="FF0000"/>
        </w:rPr>
        <w:t>enrich_procedures — process_pool, partition_key=provider_state; after base AND build_indication_map</w:t>
      </w:r>
    </w:p>
    <w:p>
      <w:pPr>
        <w:pStyle w:val="ListNumber"/>
      </w:pPr>
      <w:r>
        <w:rPr>
          <w:color w:val="FF0000"/>
        </w:rPr>
        <w:t>enrich_org_ccn_size — process_pool, partition_key=provider_state; after base</w:t>
      </w:r>
    </w:p>
    <w:p>
      <w:pPr>
        <w:pStyle w:val="ListNumber"/>
      </w:pPr>
      <w:r>
        <w:rPr>
          <w:color w:val="FF0000"/>
        </w:rPr>
        <w:t>rollup_specialtymedicare — process_pool, partition_key=nucc_code; after all three enrich steps</w:t>
      </w:r>
    </w:p>
    <w:p>
      <w:pPr>
        <w:pStyle w:val="ListNumber"/>
      </w:pPr>
      <w:r>
        <w:rPr>
          <w:color w:val="FF0000"/>
        </w:rPr>
        <w:t>medicare_contract_conformance — serial; after rollup</w:t>
      </w:r>
    </w:p>
    <w:p>
      <w:pPr>
        <w:pStyle w:val="ListNumber"/>
      </w:pPr>
      <w:r>
        <w:rPr>
          <w:color w:val="FF0000"/>
        </w:rPr>
        <w:t>quiesce_infrastructure — serial, invocation_phase=finally_block (generic)</w:t>
      </w:r>
    </w:p>
    <w:p>
      <w:pPr>
        <w:pStyle w:val="Heading4"/>
      </w:pPr>
      <w:r>
        <w:rPr>
          <w:color w:val="FF0000"/>
        </w:rPr>
        <w:t>Fan-out key resolution — _partitions_for</w:t>
      </w:r>
    </w:p>
    <w:p>
      <w:pPr/>
      <w:r>
        <w:rPr>
          <w:color w:val="FF0000"/>
        </w:rPr>
        <w:t>The orchestrator overrides _partitions_for additively (resolves Medicare keys, delegates the rest to the base; the fully declarative per-step partition source is BUG-014): source_name_base -&gt; one partition per FETCH_SOURCES entry; source_name -&gt; one per LOAD_SOURCES entry; provider_state -&gt; the generic 52-way state logic re-keyed, one ProviderMedicare worker per state; nucc_code -&gt; single-partition placeholder returning [{"single": True}].</w:t>
      </w:r>
    </w:p>
    <w:p>
      <w:pPr/>
      <w:r>
        <w:rPr>
          <w:b/>
          <w:color w:val="FF0000"/>
        </w:rPr>
        <w:t xml:space="preserve">Flag — </w:t>
      </w:r>
      <w:r>
        <w:rPr>
          <w:color w:val="FF0000"/>
        </w:rPr>
        <w:t>NUCC fan-out is a placeholder (BUG-014). rollup_specialtymedicare is declared process_pool on nucc_code, but _partitions_for returns a single partition until the distinct-nucc_code query lands. The rollup worker receives no nucc_code and rolls up every NUCC in one worker (see rollup). Functionally correct, not yet parallel.</w:t>
      </w:r>
    </w:p>
    <w:p>
      <w:pPr>
        <w:pStyle w:val="Heading4"/>
      </w:pPr>
      <w:r>
        <w:rPr>
          <w:color w:val="FF0000"/>
        </w:rPr>
        <w:t>Step runners</w:t>
      </w:r>
    </w:p>
    <w:p>
      <w:pPr/>
      <w:r>
        <w:rPr>
          <w:color w:val="FF0000"/>
        </w:rPr>
        <w:t>Each step module in steps/ exposes run_step(ctx) (+ execute alias), registered by name in pipeline/run_lifecycle/steps/__init__.py _STEP_MODULE_PATHS. The runner is thin: validate the partition, resolve every collection through PipelineRuntime(ctx).registry, call the engine, log, return the engine's result dict. No step makes external calls except fetch.</w:t>
      </w:r>
    </w:p>
    <w:p>
      <w:pPr>
        <w:pStyle w:val="Heading4"/>
      </w:pPr>
      <w:r>
        <w:rPr>
          <w:color w:val="FF0000"/>
        </w:rPr>
        <w:t>build_providermedicare_base — engine medicare_providermedicare_engine.build_providermedicare</w:t>
      </w:r>
    </w:p>
    <w:p>
      <w:pPr/>
      <w:r>
        <w:rPr>
          <w:color w:val="FF0000"/>
        </w:rPr>
        <w:t>Fanned by provider_state. Assembles one ProviderMedicare doc per NPI in the Provider spine for the state. Inputs: the built Provider collection (spine: entity_type_code, taxonomies[]), Part B staging, Part D staging, the providermedicare target, the state filter. Logic: CMS column names are isolated in PARTB_COLS / PARTD_COLS (e.g. Part B Rndrng_NPI, HCPCS_Cd, Tot_Srvcs, Avg_Mdcr_Alowd_Amt; Part D Prscrbr_NPI, Brnd_Name, Gnrc_Name, Tot_Day_Suply) so first-fetch drift is corrected in one place. Staged rows are read by raw.{state_col} for the partition state; Part B procedures and Part D drugs are grouped by NPI. One doc per spine NPI in the state: _id/npi, provider_state, entity_type (spine entity_type_code=="2" =&gt; "O" else "I"), specialty (distinct spine taxonomy codes), procedures[] from Part B, drugs[] from Part D (enrichment fields pre-seeded), indications:[]; ccn/size_tier omitted. Numeric coercion via _num; batched UpdateOne(upsert=True). Metrics: providermedicare_written, billed_npis_without_spine (count only).</w:t>
      </w:r>
    </w:p>
    <w:p>
      <w:pPr/>
      <w:r>
        <w:rPr>
          <w:b/>
          <w:color w:val="FF0000"/>
        </w:rPr>
        <w:t xml:space="preserve">Flag — </w:t>
      </w:r>
      <w:r>
        <w:rPr>
          <w:color w:val="FF0000"/>
        </w:rPr>
        <w:t>Provider data_version coupling. The step resolves the Provider spine at THIS run's data_version. A --provider-data-version arg is needed if the Provider pipeline was built at a different version; this is tracked, not implemented.</w:t>
      </w:r>
    </w:p>
    <w:p>
      <w:pPr>
        <w:pStyle w:val="Heading3"/>
      </w:pPr>
      <w:r>
        <w:rPr>
          <w:color w:val="FF0000"/>
        </w:rPr>
      </w:r>
      <w:r>
        <w:rPr>
          <w:color w:val="008000"/>
        </w:rPr>
        <w:t>fdaProductToDiagnosisResolution</w:t>
      </w:r>
      <w:r>
        <w:rPr>
          <w:color w:val="FF0000"/>
        </w:rPr>
        <w:t xml:space="preserve"> — build_indication_map / engine medicare_indication_map_engine.build_indication_map</w:t>
      </w:r>
    </w:p>
    <w:p>
      <w:pPr/>
      <w:r>
        <w:rPr>
          <w:color w:val="FF0000"/>
        </w:rPr>
        <w:t>Serial, own cadence, gated by BUILD_INDICATION_MAP. On a normal (consume) run the step is a no-op ({rebuild:False, consumed:True}); the per-provider steps read the current published map. On a rebuild run it mines a candidate at this run's data_version, released to the serving store only through the operator-gated crossing (EPIC-010-F-003) — it never auto-replaces the live map. Inputs (rebuild): CCSR staging, ICD-10-CM staging, Part D staging, openFDA-labels staging, the indication_map target.</w:t>
      </w:r>
    </w:p>
    <w:p>
      <w:pPr/>
      <w:r>
        <w:rPr>
          <w:color w:val="FF0000"/>
        </w:rPr>
        <w:t>Deterministic hierarchy mining: _parse_ccsr_row reads each AHRQ CCSR row (AHRQ wraps text in single quotes, up to six numbered CCSR category assignments per code), yielding (icd10_code, desc, [(category_code, category_desc), …]) and skipping sentinels XXX000/NA. One NormalizedIndication doc per CCSR category (indication_id = category code, parent_indication = category description, disease_class = body-system superclass from the category code's three-letter prefix via _BODY_SYSTEM, e.g. CIR-&gt;circulatory, NEO-&gt;neoplasms; an unmapped prefix carries the raw prefix token, not an invented name). member_icd10 accumulates the category's ICD-10 leaves with justification_source:"CCSR". icd10_to_cats is the reverse index. Empty hierarchy =&gt; fatal.</w:t>
      </w:r>
    </w:p>
    <w:p>
      <w:pPr/>
      <w:r>
        <w:rPr>
          <w:color w:val="FF0000"/>
        </w:rPr>
        <w:t>Molecule universe: the lower-cased set of Gnrc_Name values actually prescribed under Part D.</w:t>
      </w:r>
    </w:p>
    <w:p>
      <w:pPr/>
      <w:r>
        <w:rPr>
          <w:color w:val="FF0000"/>
        </w:rPr>
        <w:t>LLM product-&gt;indication crosswalk (the thin residual; rebuild + openFDA only): CH_INDICATION_MODEL (a pydantic-ai provider:model string) is read from env; absent =&gt; fatal. Iterates openFDA label records; for each it reads openfda.rxcui[0] and substance/generic name, skips any product whose substances are not in the prescribed set, then sends the label's indications_and_usage prose to the model. One call per product, through the shared facade run_llm_sync with a pydantic-ai Agent whose output_type is IcdCodes and a system prompt instructing it to return only on-label ICD-10-CM codes. Model settings temperature=0, max_tokens=4000, plus a provider-specific logprob flag. Trust: _trust_from_result reads response.provider_details.avg_logprobs and maps it to 0..1 via exp(mean per-token logprob) — the inference's own confidence, never a number the model is asked to invent. Returned ICD-10 codes are joined to CCSR categories via icd10_to_cats; each category's molecules[rxcui] gets {ingredient, justification_source:"fda_label", justification_kind:"residual-LLM", trust}.</w:t>
      </w:r>
    </w:p>
    <w:p>
      <w:pPr/>
      <w:r>
        <w:rPr>
          <w:b/>
          <w:color w:val="FF0000"/>
        </w:rPr>
        <w:t xml:space="preserve">Flag — </w:t>
      </w:r>
      <w:r>
        <w:rPr>
          <w:color w:val="FF0000"/>
        </w:rPr>
        <w:t>Logprob availability. Only google/openai expose logprobs; an Anthropic binding yields trust=None. Deterministic facts carry no trust. Output: one doc per CCSR category (batched). Metrics: indications_written, ccsr_rows, prescribed_molecules, residual_calls, molecules_attached, rebuild.</w:t>
      </w:r>
    </w:p>
    <w:p>
      <w:pPr>
        <w:pStyle w:val="Heading3"/>
      </w:pPr>
      <w:r>
        <w:rPr>
          <w:color w:val="FF0000"/>
        </w:rPr>
        <w:t>Per-provider enrichment (map-lookup and deterministic)</w:t>
      </w:r>
    </w:p>
    <w:p>
      <w:pPr>
        <w:pStyle w:val="Heading4"/>
      </w:pPr>
      <w:r>
        <w:rPr>
          <w:color w:val="FF0000"/>
        </w:rPr>
        <w:t>enrich_drugs — engine medicare_enrich_drugs_engine.enrich_drugs (S-006)</w:t>
      </w:r>
    </w:p>
    <w:p>
      <w:pPr/>
      <w:r>
        <w:rPr>
          <w:color w:val="FF0000"/>
        </w:rPr>
        <w:t>Fanned by provider_state. Map lookup only. Loads the published map into rxcui-&gt;{indication_id} and ingredient_lower-&gt;{indication_id} from each indication's molecules[]. Empty map =&gt; fatal ("build/release it first"). For each ProviderMedicare record in the state, each drug joins by rxcui when present, else by generic/molecule. A drug indicated for several parents writes all to parent_indications (count-under-each) and adds its days_supply under each indication. Rolls the provider's own per-indication day supply into indications[] with source:"drug". Metrics: providermedicare_updated, drug_slots_mapped.</w:t>
      </w:r>
    </w:p>
    <w:p>
      <w:pPr>
        <w:pStyle w:val="Heading4"/>
      </w:pPr>
      <w:r>
        <w:rPr>
          <w:color w:val="FF0000"/>
        </w:rPr>
        <w:t>enrich_procedures — engine medicare_enrich_procedures_engine.enrich_procedures (S-005)</w:t>
      </w:r>
    </w:p>
    <w:p>
      <w:pPr/>
      <w:r>
        <w:rPr>
          <w:color w:val="FF0000"/>
        </w:rPr>
        <w:t>Fanned by provider_state. Rule-based procedure coverage justification. build_hcpc_to_icd10 joins the two Medicare Coverage Database tables by their shared article key: the ICD-10 table gives article-&gt;{ICD-10}, the HCPCS table gives article-&gt;HCPCS, yielding HCPCS-&gt;{covered ICD-10}. Column names matched by tolerant key tuples after single-quote stripping and lower-casing; ICD-10 codes normalized (upper, dots removed). Each billed procedure whose HCPCS is governed is stamped allowed_icd10 (sorted covered diagnoses), justification_kind:"coverage_db", justification_source:"medicare_coverage". Procedures with no coverage get justification_kind:"none".</w:t>
      </w:r>
    </w:p>
    <w:p>
      <w:pPr/>
      <w:r>
        <w:rPr>
          <w:b/>
          <w:color w:val="FF0000"/>
        </w:rPr>
        <w:t xml:space="preserve">Flag — </w:t>
      </w:r>
      <w:r>
        <w:rPr>
          <w:color w:val="FF0000"/>
        </w:rPr>
        <w:t>"none" persistence. The engine sets changed=True only when at least one procedure gains coverage; a record whose procedures are all uncovered is not written, so the "none" justification persists only when a sibling procedure did get coverage. Records with zero covered procedures keep justification_kind:"" from the base build. Metrics: hcpcs_with_coverage, providermedicare_updated, procedures_justified.</w:t>
      </w:r>
    </w:p>
    <w:p>
      <w:pPr>
        <w:pStyle w:val="Heading4"/>
      </w:pPr>
      <w:r>
        <w:rPr>
          <w:color w:val="FF0000"/>
        </w:rPr>
        <w:t>enrich_org_ccn_size — engine medicare_enrich_org_engine.enrich_org_ccn_size (S-007)</w:t>
      </w:r>
    </w:p>
    <w:p>
      <w:pPr/>
      <w:r>
        <w:rPr>
          <w:color w:val="FF0000"/>
        </w:rPr>
        <w:t>Fanned by provider_state, organizations only (entity_type == "O"). CCN: mined deterministically from the spine's other_identifiers[] — the Medicare OSCAR/certification slot, matched by type_code == "06" or OSCAR/CERTIFICATION/CCN text. No new acquisition. size_tier: a coarse 1–5 quintile band of the certified bed count from the Provider-of-Services file, keyed by CCN. _build_pos_index builds CCN-&gt;max bed count and four quintile cut-points (0.2/0.4/0.6/0.8) over positive counts; _band places a facility. Bed counts are inpatient, so an ambulatory/no-bed facility gets size_tier=None (never fabricated). Writes only ccn and optional size_tier. Metrics: orgs, updated, size_tiered.</w:t>
      </w:r>
    </w:p>
    <w:p>
      <w:pPr>
        <w:pStyle w:val="Heading3"/>
      </w:pPr>
      <w:r>
        <w:rPr>
          <w:color w:val="FF0000"/>
        </w:rPr>
        <w:t>SpecialtyMedicare rollup — rollup_specialtymedicare / engine medicare_rollup_engine.rollup_specialtymedicare</w:t>
      </w:r>
    </w:p>
    <w:p>
      <w:pPr/>
      <w:r>
        <w:rPr>
          <w:color w:val="FF0000"/>
        </w:rPr>
        <w:t>Declared process_pool on nucc_code; currently runs as one worker over all NUCCs (BUG-014). When a real nucc_code partition is present the worker scopes to it (nucc_codes={nucc}); the placeholder passes None and rolls up every NUCC. Inputs: the finished ProviderMedicare collection, the Provider spine (for provider_count), the specialtymedicare target, optionally the provider SpecialtyMetaData (SMD) collection for the embedding. Aggregation per NUCC, over every provider carrying that NUCC in specialty: per-provider day-supply totals per drug and per indication are collected into lists so the benchmark is across providers. drugs[]: provider_count (distinct NPIs), summed total_claims/beneficiary_count/total_cost, and _stats (mean, median, four quintiles) over the per-provider day-supply list; rxcui carried when known. indications[]: provider_count, the same _stats. procedures[]: provider_count, summed service_count/beneficiary_count/allowed_amount. indications_served[]: the set of indication ids touched. provider_count on the doc is read independently from the base: provider_spine_coll.count_documents({"taxonomies.code": nucc}) — every provider carrying this NUCC in any slot. Embedding: _specialty_embedding copies the existing embedding (+embedding_model) for the NUCC from SMD — the same vector FindCare's vector search uses — rather than re-embedding; SMD absent =&gt; no embedding. The quintile cut-points define the five tiers at evaluation; these benchmark figures live only here. Batched upsert. Metrics: specialtymedicare_written, nucc_count.</w:t>
      </w:r>
    </w:p>
    <w:p>
      <w:pPr>
        <w:pStyle w:val="Heading3"/>
      </w:pPr>
      <w:r>
        <w:rPr>
          <w:color w:val="FF0000"/>
        </w:rPr>
        <w:t>Record contracts and conformance — medicare_contract_conformance / engine medicare_conformance_engine.check_conformance</w:t>
      </w:r>
    </w:p>
    <w:p>
      <w:pPr/>
      <w:r>
        <w:rPr>
          <w:color w:val="FF0000"/>
        </w:rPr>
        <w:t xml:space="preserve">Serial, after the rollup. Validates every published ProviderMedicare, SpecialtyMedicare, and </w:t>
      </w:r>
      <w:r>
        <w:rPr>
          <w:color w:val="008000"/>
        </w:rPr>
        <w:t>fdaProductToDiagnosisResolution</w:t>
      </w:r>
      <w:r>
        <w:rPr>
          <w:color w:val="FF0000"/>
        </w:rPr>
        <w:t xml:space="preserve"> document against its JSON Schema (under Website/schemas) using Draft202012Validator. Each collection reports checked, nonconforming, and up to 10 sample offenders (_id + first error path/message). A single nonconforming record anywhere raises a fatal exception carrying the full report, stopping the run — the collections are normative. This is the pipeline's only output-correctness gate today.</w:t>
      </w:r>
    </w:p>
    <w:p>
      <w:pPr>
        <w:pStyle w:val="Heading3"/>
      </w:pPr>
      <w:r>
        <w:rPr>
          <w:color w:val="FF0000"/>
        </w:rPr>
        <w:t>Findings vocabulary</w:t>
      </w:r>
    </w:p>
    <w:p>
      <w:pPr/>
      <w:r>
        <w:rPr>
          <w:b/>
          <w:color w:val="FF0000"/>
        </w:rPr>
        <w:t xml:space="preserve">Flag — </w:t>
      </w:r>
      <w:r>
        <w:rPr>
          <w:color w:val="FF0000"/>
        </w:rPr>
        <w:t>Medicare findings are effectively unimplemented (EPIC-010-F-007-S-011). pipeline_config.json's discrepancy_report.finding_types is a single per-env block whose vocabulary is provider-oriented (missing_npi, invalid_npi, unresolved_taxonomy_code, county_unresolvable, etc.). There is no Medicare-specific finding vocabulary, and no Medicare engine records any per-record finding — the build/enrich/rollup engines return only summary counters (billed_npis_without_spine, drug_slots_mapped, procedures_justified, size_tiered) to the manifest via logs. So: the per-record finding discipline required by S-011 and generic S-005 is not exercised; the only data-quality abort is the all-or-nothing conformance gate; the configured discrepancy_abort:1000 threshold has no Medicare findings to count; and, with the un-emitted discrepancy report, the run produces no per-record discrepancy enumeration on completion.</w:t>
      </w:r>
    </w:p>
    <w:p>
      <w:pPr>
        <w:pStyle w:val="Heading3"/>
      </w:pPr>
      <w:r>
        <w:rPr>
          <w:color w:val="FF0000"/>
        </w:rPr>
        <w:t>Infrastructure consumed from Part I</w:t>
      </w:r>
    </w:p>
    <w:p>
      <w:pPr/>
      <w:r>
        <w:rPr>
          <w:color w:val="FF0000"/>
        </w:rPr>
        <w:t>The Medicare pipeline consumes, unchanged: BasePipelineOrchestrator.run and the StepSpec DAG walk; the two-VM controller+worker compute (WORKER_COMPUTE=vm); PipelineRuntime/registry collection resolution and url-discovery; the shared source_fetch_engine, staging_loader, archive_sources; atlas_cluster_manager cluster wake/pause; the reservation + cluster_lifecycle lease and reaper; the controller heartbeat; the run-status server (:6969, S-015); controller_release (fatal_on_worker_log_db_reports, kill_active_workers, quiesce_mongo_state, empty_pipeline_staging, pause_pipeline_cluster, fire_farewell_vm_delete); the shared LLM facade (run_llm_sync); ChatHealthyLoggingService; and ChatHealthyMongoUtilities identity-scoped connections (pipelineEditor for data; pipelineController/pipelineEditor credentials carried on the VMs).</w:t>
      </w:r>
    </w:p>
    <w:p>
      <w:pPr>
        <w:pStyle w:val="Heading3"/>
      </w:pPr>
      <w:r>
        <w:rPr>
          <w:color w:val="FF0000"/>
        </w:rPr>
        <w:t>LLM usage summary</w:t>
      </w:r>
    </w:p>
    <w:p>
      <w:pPr/>
      <w:r>
        <w:rPr>
          <w:color w:val="FF0000"/>
        </w:rPr>
        <w:t>Exactly one LLM use-site exists: the product-&gt;indication crosswalk in build_indication_map, reached only on a rebuild run. Binding CH_INDICATION_MODEL (provider:model, no vendor pinned in source); temperature=0; provider-specific logprob request; one call per prescribed product; output a validated IcdCodes list; trust the call's own avg-logprob confidence (0..1), None when the provider exposes no logprobs. The call goes through run_llm_sync, though the Agent is constructed in-engine and the provider derived from the model string — the facade-centralization limitation recorded in BUG-003. url-discovery (resolving each source's URL from a page_url + instructions) is a separate LLM-assisted mechanism owned by the shared registry, not by Medicare code.</w:t>
      </w:r>
    </w:p>
    <w:p>
      <w:pPr>
        <w:pStyle w:val="Heading3"/>
      </w:pPr>
      <w:r>
        <w:rPr>
          <w:color w:val="FF0000"/>
        </w:rPr>
        <w:t>Declarative, model-free source fetching</w:t>
      </w:r>
    </w:p>
    <w:p>
      <w:pPr/>
      <w:r>
        <w:rPr>
          <w:color w:val="FF0000"/>
        </w:rPr>
        <w:t>How each source is located is data, not code, and the fan-out worker that fetches it runs no model. This supersedes the url-discovery description in the Sources, Freshness gate, Fetch and LLM-usage-summary subsections above, which resolved each source URL through an LLM-discovery agent that required an env-bound model on the worker; the declarative map below removes that per-worker model dependency.</w:t>
      </w:r>
    </w:p>
    <w:p>
      <w:pPr/>
      <w:r>
        <w:rPr>
          <w:color w:val="FF0000"/>
        </w:rPr>
        <w:t>The persistent pipeline configuration (pipeline_config) holds a prefabricated, typed fetch spec per source, keyed source_name -&gt; fetch spec. This map is the single source of truth for how each source is located. Each spec is exactly one of four typed find modes: dkan_catalog { catalog_url, dataset_title }; static_page_latest { page_url, link_suffix }; json_manifest { manifest_url, json_path }; direct_url { url }.</w:t>
      </w:r>
    </w:p>
    <w:p>
      <w:pPr/>
      <w:r>
        <w:rPr>
          <w:color w:val="FF0000"/>
        </w:rPr>
        <w:t>The Controller manufactures the fan-out assignments before it dispenses them — a Controller self-call, now shown in the Medicare detailed-run sequence. It writes one work-item per source, and each assignment carries ONLY the source_name key; no fetch parameters travel on the assignment.</w:t>
      </w:r>
    </w:p>
    <w:p>
      <w:pPr/>
      <w:r>
        <w:rPr>
          <w:color w:val="FF0000"/>
        </w:rPr>
        <w:t>The fan-out worker is a pure executor: it looks its source_name key up in the persistent config, reads the prefabricated params, builds a FetchRequest, and runs the data-fetch agent. It performs no logic, it manufactures nothing, and it runs no model.</w:t>
      </w:r>
    </w:p>
    <w:p>
      <w:pPr/>
      <w:r>
        <w:rPr>
          <w:color w:val="FF0000"/>
        </w:rPr>
        <w:t>The data-fetch agent is a pydantic-ai agent with a typed pydantic input and a typed pydantic output. The four deterministic find modes (dkan_catalog, static_page_latest, json_manifest, direct_url) resolve the download URL with no model. Only the llm_discovery mode uses a model, and the Medicare pipeline no longer uses that mode: every Medicare source resolves through a deterministic find spec.</w:t>
      </w:r>
    </w:p>
    <w:p>
      <w:pPr>
        <w:pStyle w:val="Heading3"/>
      </w:pPr>
      <w:r>
        <w:rPr>
          <w:color w:val="FF0000"/>
        </w:rPr>
        <w:t>Run failure semantics — fail hard, never green on empty, always a real reason</w:t>
      </w:r>
    </w:p>
    <w:p>
      <w:pPr/>
      <w:r>
        <w:rPr>
          <w:color w:val="FF0000"/>
        </w:rPr>
        <w:t>Failing to load a source is a FATAL abend of the run, carrying the reason. A partial or missing source is never tolerated.</w:t>
      </w:r>
    </w:p>
    <w:p>
      <w:pPr/>
      <w:r>
        <w:rPr>
          <w:color w:val="FF0000"/>
        </w:rPr>
        <w:t>A fan-out worker that cannot claim legitimate work does NOT exit green. Absence of claimable work is not success.</w:t>
      </w:r>
    </w:p>
    <w:p>
      <w:pPr/>
      <w:r>
        <w:rPr>
          <w:color w:val="FF0000"/>
        </w:rPr>
        <w:t>Every failed run always records a real failure reason, resolved in this precedence: the worker's per-partition error if one is present; else an exception that reached the Controller; else a step-level reason derived from the run's own step status — "run did not proceed past step &lt;name&gt; (&lt;failed&gt;/&lt;total&gt; partitions failed)". The discrepancy report renders that reason and is titled by the pipeline's display name.</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F935" w14:textId="77777777" w:rsidR="00D27770" w:rsidRDefault="00D27770" w:rsidP="000B69D9">
      <w:pPr>
        <w:spacing w:after="0" w:line="240" w:lineRule="auto"/>
      </w:pPr>
      <w:r>
        <w:separator/>
      </w:r>
    </w:p>
  </w:endnote>
  <w:endnote w:type="continuationSeparator" w:id="0">
    <w:p w14:paraId="61DE0060" w14:textId="77777777" w:rsidR="00D27770" w:rsidRDefault="00D27770"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5DC3" w14:textId="77777777" w:rsidR="00D27770" w:rsidRDefault="00D27770" w:rsidP="000B69D9">
      <w:pPr>
        <w:spacing w:after="0" w:line="240" w:lineRule="auto"/>
      </w:pPr>
      <w:r>
        <w:separator/>
      </w:r>
    </w:p>
  </w:footnote>
  <w:footnote w:type="continuationSeparator" w:id="0">
    <w:p w14:paraId="07B84640" w14:textId="77777777" w:rsidR="00D27770" w:rsidRDefault="00D27770"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103</Pages>
  <Words>34973</Words>
  <Characters>199347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2026-10-05T21:19:00Z</dcterms:created>
  <dcterms:modified xsi:type="dcterms:W3CDTF">2026-10-08T20:54:00Z</dcterms:modified>
  <cp:category/>
  <cp:contentStatus>Approved</cp:contentStatus>
</cp:coreProperties>
</file>