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7A75"/>
          <w:sz w:val="40"/>
        </w:rPr>
        <w:t>The Refactor — Plan</w:t>
      </w:r>
    </w:p>
    <w:p>
      <w:r>
        <w:rPr>
          <w:i/>
          <w:color w:val="6B7280"/>
          <w:sz w:val="19"/>
        </w:rPr>
        <w:t>How the code reaches the target the five architectures state. Its exit criterion is that the Code directory does not exist.</w:t>
      </w:r>
    </w:p>
    <w:p>
      <w:pPr>
        <w:pStyle w:val="Heading1"/>
      </w:pPr>
      <w:r>
        <w:t>The Refactor — Plan</w:t>
      </w:r>
    </w:p>
    <w:p>
      <w:r>
        <w:t>Artifact 6 of 6. The five architecture documents state the target. This states how the code gets there, in what order, and what proves each step.</w:t>
      </w:r>
    </w:p>
    <w:p>
      <w:pPr/>
      <w:r>
        <w:t>What this plan builds, and what it moves into. The five architectures name the target's new components — the Gate, the UniversalNavigator in SharedServices, its per-satellite UniversalNavigatorProxy, the UtteranceManager, and the one-record tool registry generated from source at build. This plan does not stand those up; it migrates FindCare's capability contracts into that topology. Standing up the components, and generating the registry, belong to the reference and to a later artifact, and are out of scope here the way §6 scopes out EvaluateCare — named, so their absence is a decision and not an oversight. Where each capability finally runs — co-resident with the main, or a satellite reached through the proxy — is a deployment fact tuned from the ledger's timings, not a phase here; the tools are location-blind either way.</w:t>
      </w:r>
    </w:p>
    <w:p>
      <w:pPr/>
      <w:r>
        <w:t>Three target placements this plan inherits rather than invents. Session maintenance, session timeouts and session security, the shared library's serial deterministic merge, and the render ledger — which reconciles a page against that page's required_members within a completeness budget, answering a timeout in layman's terms and raising on a merge conflict or a dead required member — move out of app.py into the UniversalNavigator, not into any capability module. The five call types — tool_to_tool, third_party_callback, static_witness, client_sessioned, internal_callback — are the closed set every route named below is an instance of, each carrying its proof and its timeout facts. And the four artifacts that carry the map's job today — the tool contracts, the dispatch table, the router's allowlist, and the UtteranceManager's routing prompt — converge into that one registry: presence in it is the allowlist, subscriptions are the dispatch table, and the prompt fragments assemble the routing table.</w:t>
      </w:r>
    </w:p>
    <w:p>
      <w:pPr/>
      <w:r>
        <w:t>The flows the target runs are the seams these phases draw. The target names nine: six by request type, one for each way a call crosses our boundary, and three by page, one for each thing the application constructs. A request-type flow is triaged at the UniversalNavigator by the proof its route declares — the client_sessioned utterance and the client_sessioned gesture on a session token, the tool_to_tool hop on none, the internal_callback on our own signature, the third_party_callback on a kept api_key, the static_witness on none — while the Gate verifies none of it and dispatches only to the navigator. A page-type flow — individualProvider, facility, and clinicalTrial — is reconciled by the render ledger against that page's required_members within its completeness budget; a detail or a specialty filter is a member of a page, not a page of its own, so a page showing only its NUCC specialty filter is incomplete, and closing that page's required_members is the UniversalNavigator's job. This plan does not draw the sequence diagrams; those are the reference's, one per flow. It draws the seams: Phase 1 and the route split carry the client_sessioned, tool_to_tool and internal_callback types onto the base contract and the throw discipline, Phase 5a carries the third_party_callback and the static_witness, and the page seams land as each migrated capability becomes a member of the page it composes. A capability that has moved but names no page it belongs to is a seam half-drawn, and the check that catches it is the registry's page-membership rule, not this plan's.</w:t>
      </w:r>
    </w:p>
    <w:p>
      <w:pPr>
        <w:pStyle w:val="Heading2"/>
      </w:pPr>
      <w:r>
        <w:t xml:space="preserve">The essence: code becomes data</w:t>
      </w:r>
    </w:p>
    <w:p>
      <w:r>
        <w:t xml:space="preserve">Operator directive, 2026-09-15. The five architectures name the target’s shape; this states its essence. Every path in the codebase migrates onto one flow: a trivial HTTP Gate, then a capable router — the UniversalNavigator, or the ClientRouter on the client side — then, when the turn needs to converse, the UtteranceManager. No path bypasses the Gate. Capability lives in the router, never in the leaf tools and never in the client.</w:t>
      </w:r>
    </w:p>
    <w:p>
      <w:r>
        <w:rPr>
          <w:b/>
        </w:rPr>
        <w:t xml:space="preserve">Metadata drives every tool.</w:t>
      </w:r>
      <w:r>
        <w:t xml:space="preserve"> A tool’s behaviour is configured by the tool registry and the pages and members it declares in Mongo (ChatHealthyConfig), not by branching in code. This is the refactor’s essence: a great deal of what is hardcoded logic and config today moves out of the code and into Mongo as data. Current capabilities and the code beneath them change substantially as a result — this plan’s file moves are the mechanical half of a change whose real subject is code becoming data.</w:t>
      </w:r>
    </w:p>
    <w:p>
      <w:r>
        <w:rPr>
          <w:b/>
        </w:rPr>
        <w:t xml:space="preserve">The pilot — the chat transcript.</w:t>
      </w:r>
      <w:r>
        <w:t xml:space="preserve"> The first concrete instance of this architecture is the scrolling, per-speaker conversation surface built above the prompt: it refactors the scattered prose divs into one transcript sourced from the Mongo conversation history and flowing through Gate → router → render ledger. It is exemplar #1, and the pattern radiates outward from it.</w:t>
      </w:r>
    </w:p>
    <w:p>
      <w:r>
        <w:rPr>
          <w:b/>
        </w:rPr>
        <w:t xml:space="preserve">The radiation path.</w:t>
      </w:r>
      <w:r>
        <w:t xml:space="preserve"> From the transcript surface the same shape reaches the remaining surfaces in turn — the search result lists, the detail panels, the filter and geo panels — each migrated off its own inline rendering and onto Gate → router → UtteranceManager and the render ledger, and each driven by registry metadata rather than in-code branching. The phases below are the order in which that radiation is carried out and measured.</w:t>
      </w:r>
    </w:p>
    <w:p>
      <w:pPr>
        <w:pStyle w:val="Heading3"/>
      </w:pPr>
      <w:r>
        <w:t xml:space="preserve">A Rule-065 enforcement holds this architecture</w:t>
      </w:r>
    </w:p>
    <w:p>
      <w:r>
        <w:t xml:space="preserve">Operator, 2026-09-15. A new Rule-065 pre-commit enforcement — its own worker, because one concern is one rule and one enforcement — gates the migrated architecture on three properties: tools are metadata-driven; config and data that belongs in Mongo is not hardcoded as literals in code; and paths flow Gate → router → UtteranceManager rather than bypassing the Gate. It needs a rule_statement under Rule-065 tracing to a requirement; the precise invariant is the operator’s to author.</w:t>
      </w:r>
    </w:p>
    <w:p>
      <w:r>
        <w:rPr>
          <w:b/>
        </w:rPr>
        <w:t xml:space="preserve">Sequencing.</w:t>
      </w:r>
      <w:r>
        <w:t xml:space="preserve"> The enforcement cannot be turned on against un-migrated code — it would fail almost everywhere. It is scoped to the migrated surfaces first and widened as the migration radiates; codebase-wide enablement is the finish line, not the starting gun.</w:t>
      </w:r>
    </w:p>
    <w:p>
      <w:r>
        <w:rPr>
          <w:b/>
        </w:rPr>
        <w:t xml:space="preserve">First invariant, authored by the operator 2026-09-15 (the transcript pilot’s acceptance property).</w:t>
      </w:r>
      <w:r>
        <w:t xml:space="preserve"> There is exactly one conversation record on the screen — the single transcript. Every conversational message, the user’s and the model’s alike, appends to that one record and nowhere else; a commit fails if any message path renders a conversational message outside the single transcript.</w:t>
      </w:r>
    </w:p>
    <w:p>
      <w:r>
        <w:rPr>
          <w:b/>
        </w:rPr>
        <w:t xml:space="preserve">Enforceable shape.</w:t>
      </w:r>
      <w:r>
        <w:t xml:space="preserve"> The static half — exactly one transcript surface in the React source, all conversational-message rendering flowing through it, no stray prose divs — is a pre-commit structural scan. The behavioural half — that a user message actually appends at runtime — is a required Playwright check the gate runs.</w:t>
      </w:r>
    </w:p>
    <w:p>
      <w:pPr>
        <w:pStyle w:val="Heading2"/>
      </w:pPr>
      <w:r>
        <w:t>0. The exit criterion, first</w:t>
      </w:r>
    </w:p>
    <w:p>
      <w:r>
        <w:t>This plan is finished when three commands agree, and not before.</w:t>
      </w:r>
    </w:p>
    <w:p>
      <w:pPr>
        <w:spacing w:after="0"/>
        <w:ind w:left="360"/>
      </w:pPr>
      <w:r>
        <w:rPr>
          <w:rFonts w:ascii="Courier New" w:hAnsi="Courier New"/>
          <w:sz w:val="22"/>
        </w:rPr>
        <w:t>git ls-files Code                    -&gt;  empty</w:t>
      </w:r>
    </w:p>
    <w:p>
      <w:pPr>
        <w:spacing w:after="0"/>
        <w:ind w:left="360"/>
      </w:pPr>
      <w:r>
        <w:rPr>
          <w:rFonts w:ascii="Courier New" w:hAnsi="Courier New"/>
          <w:sz w:val="22"/>
        </w:rPr>
        <w:t>test -d Code                         -&gt;  false</w:t>
      </w:r>
    </w:p>
    <w:p>
      <w:pPr>
        <w:spacing w:after="0"/>
        <w:ind w:left="360"/>
      </w:pPr>
      <w:r>
        <w:rPr>
          <w:rFonts w:ascii="Courier New" w:hAnsi="Courier New"/>
          <w:sz w:val="22"/>
        </w:rPr>
        <w:t>grep -rn "Code/" --include=* .       -&gt;  no hit from any source file,</w:t>
      </w:r>
    </w:p>
    <w:p>
      <w:pPr>
        <w:spacing w:after="0"/>
        <w:ind w:left="360"/>
      </w:pPr>
      <w:r>
        <w:rPr>
          <w:rFonts w:ascii="Courier New" w:hAnsi="Courier New"/>
          <w:sz w:val="22"/>
        </w:rPr>
        <w:t xml:space="preserve">                                         config, build script, test, or</w:t>
      </w:r>
    </w:p>
    <w:p>
      <w:pPr>
        <w:spacing w:after="0"/>
        <w:ind w:left="360"/>
      </w:pPr>
      <w:r>
        <w:rPr>
          <w:rFonts w:ascii="Courier New" w:hAnsi="Courier New"/>
          <w:sz w:val="22"/>
        </w:rPr>
        <w:t xml:space="preserve">                                         record</w:t>
      </w:r>
    </w:p>
    <w:p/>
    <w:p>
      <w:r>
        <w:t>That is not a summary of the plan. It is the plan's definition of done, it is mechanical, and it is the one claim about this work that cannot be softened by anybody's judgement — mine included.</w:t>
      </w:r>
    </w:p>
    <w:p>
      <w:r>
        <w:rPr>
          <w:b/>
        </w:rPr>
        <w:t>Why the directory must go.</w:t>
      </w:r>
      <w:r>
        <w:t xml:space="preserve"> The code tree mirrors the epic and feature tree, because that tree is the organisation and the general ledger expressed once. A file under </w:t>
      </w:r>
      <w:r>
        <w:rPr>
          <w:rFonts w:ascii="Consolas" w:hAnsi="Consolas"/>
          <w:sz w:val="17"/>
        </w:rPr>
        <w:t>Code/</w:t>
      </w:r>
      <w:r>
        <w:t xml:space="preserve"> belongs to no feature, so the record cannot name its owner, no cost centre carries it, and no requirement authorises it. Seventy-one tracked files are in that position today. The architecture is not partly true while they remain; it is a description of a different repository.</w:t>
      </w:r>
    </w:p>
    <w:p>
      <w:pPr>
        <w:pStyle w:val="Heading2"/>
      </w:pPr>
      <w:r>
        <w:t>1. Why the measurement is built before the change</w:t>
      </w:r>
    </w:p>
    <w:p>
      <w:r>
        <w:t>The state being migrated away from is the output of a previous refactor. So the question is not what to change — that is settled — but why the result holds this time.</w:t>
      </w:r>
    </w:p>
    <w:p>
      <w:r>
        <w:t>Every gate in this firm checks that a declaration is well formed and that the declared thing is present. None checks that the declaration is true. That single gap produced, with a green build throughout: eighty-eight percent of declared files attributed to the wrong feature; a capability catalogue stated in three places with three different contents; a tool declared and shipped that nothing imports, beside a tool that runs and is declared nowhere; and a conformance check that reports green while the principle it tests is violated in nine places.</w:t>
      </w:r>
    </w:p>
    <w:p>
      <w:r>
        <w:t>A plan that installs its measurement at the end spends its whole length on judgement and then finds out. So Phase 0 builds the gates, and every later phase is measured by them.</w:t>
      </w:r>
    </w:p>
    <w:p>
      <w:r>
        <w:rPr>
          <w:b/>
        </w:rPr>
        <w:t>And the gates must name effects, not spellings.</w:t>
      </w:r>
      <w:r>
        <w:t xml:space="preserve"> A check that names a mechanism inherits that mechanism's lifetime; a check that names an effect outlives it. The check that reports green today does so because it was written from a description of a bypass that no longer exists while the real bypass runs untouched. Every gate in Phase 0 is written from behaviour and must exhibit a live true positive before it counts as built: a check that has never gone red against a real violation is a hypothesis.</w:t>
      </w:r>
    </w:p>
    <w:p>
      <w:pPr>
        <w:pStyle w:val="Heading2"/>
      </w:pPr>
      <w:r>
        <w:t>3. The phases</w:t>
      </w:r>
    </w:p>
    <w:p>
      <w:r>
        <w:drawing>
          <wp:inline xmlns:a="http://schemas.openxmlformats.org/drawingml/2006/main" xmlns:pic="http://schemas.openxmlformats.org/drawingml/2006/picture">
            <wp:extent cx="5486400" cy="867596"/>
            <wp:docPr id="103" name="mig_code_tree.png"/>
            <wp:cNvGraphicFramePr>
              <a:graphicFrameLocks noChangeAspect="1"/>
            </wp:cNvGraphicFramePr>
            <a:graphic>
              <a:graphicData uri="http://schemas.openxmlformats.org/drawingml/2006/picture">
                <pic:pic>
                  <pic:nvPicPr>
                    <pic:cNvPr id="0" name="mig_code_tree.png"/>
                    <pic:cNvPicPr/>
                  </pic:nvPicPr>
                  <pic:blipFill>
                    <a:blip r:embed="rId103"/>
                    <a:stretch>
                      <a:fillRect/>
                    </a:stretch>
                  </pic:blipFill>
                  <pic:spPr>
                    <a:xfrm>
                      <a:off x="0" y="0"/>
                      <a:ext cx="5486400" cy="867596"/>
                    </a:xfrm>
                    <a:prstGeom prst="rect"/>
                  </pic:spPr>
                </pic:pic>
              </a:graphicData>
            </a:graphic>
          </wp:inline>
        </w:drawing>
      </w:r>
    </w:p>
    <w:p>
      <w:r>
        <w:rPr>
          <w:i/>
        </w:rPr>
        <w:t>Figure. The Code/ tree and where each population moves. Several populations are drawn without a destination on purpose: choosing one is an architecture decision. Only three of the files under Shared/ops/tools are declared in the deployment record.</w:t>
      </w:r>
    </w:p>
    <w:p>
      <w:r>
        <w:t>Each phase depends on the one before. Nothing here runs in parallel, because every phase moves the number the next one is measured against.</w:t>
      </w:r>
    </w:p>
    <w:p>
      <w:pPr>
        <w:pStyle w:val="Heading3"/>
      </w:pPr>
      <w:r>
        <w:t>Phase 0 — the gates</w:t>
      </w:r>
    </w:p>
    <w:p>
      <w:r>
        <w:drawing>
          <wp:inline xmlns:a="http://schemas.openxmlformats.org/drawingml/2006/main" xmlns:pic="http://schemas.openxmlformats.org/drawingml/2006/picture">
            <wp:extent cx="5256960" cy="6858000"/>
            <wp:docPr id="101" name="mig_phases.png"/>
            <wp:cNvGraphicFramePr>
              <a:graphicFrameLocks noChangeAspect="1"/>
            </wp:cNvGraphicFramePr>
            <a:graphic>
              <a:graphicData uri="http://schemas.openxmlformats.org/drawingml/2006/picture">
                <pic:pic>
                  <pic:nvPicPr>
                    <pic:cNvPr id="0" name="mig_phases.png"/>
                    <pic:cNvPicPr/>
                  </pic:nvPicPr>
                  <pic:blipFill>
                    <a:blip r:embed="rId101"/>
                    <a:stretch>
                      <a:fillRect/>
                    </a:stretch>
                  </pic:blipFill>
                  <pic:spPr>
                    <a:xfrm>
                      <a:off x="0" y="0"/>
                      <a:ext cx="5256960" cy="6858000"/>
                    </a:xfrm>
                    <a:prstGeom prst="rect"/>
                  </pic:spPr>
                </pic:pic>
              </a:graphicData>
            </a:graphic>
          </wp:inline>
        </w:drawing>
      </w:r>
    </w:p>
    <w:p>
      <w:r>
        <w:rPr>
          <w:i/>
        </w:rPr>
        <w:t xml:space="preserve">Figure. The phases a change passes through on its way to a running environment — each phase moves the number the next is measured against.</w:t>
      </w:r>
    </w:p>
    <w:p>
      <w:r>
        <w:t>Three checks, written from behaviour, each demonstrated red against a real violation before it is accepted.</w:t>
      </w:r>
    </w:p>
    <w:p>
      <w:pPr>
        <w:pStyle w:val="ListNumber"/>
      </w:pPr>
      <w:r>
        <w:rPr>
          <w:b/>
        </w:rPr>
        <w:t>No reference to `Code/`.</w:t>
      </w:r>
      <w:r>
        <w:t xml:space="preserve"> Fails on any path under </w:t>
      </w:r>
      <w:r>
        <w:rPr>
          <w:rFonts w:ascii="Consolas" w:hAnsi="Consolas"/>
          <w:sz w:val="17"/>
        </w:rPr>
        <w:t>Code/</w:t>
      </w:r>
      <w:r>
        <w:t xml:space="preserve"> appearing</w:t>
      </w:r>
    </w:p>
    <w:p>
      <w:r>
        <w:t>in a source file, a build script, a test, a config or the deployment record. It is red today by design — it measures the work.</w:t>
      </w:r>
    </w:p>
    <w:p>
      <w:pPr>
        <w:pStyle w:val="ListNumber"/>
      </w:pPr>
      <w:r>
        <w:rPr>
          <w:b/>
        </w:rPr>
        <w:t>Declared equals dispatched.</w:t>
      </w:r>
      <w:r>
        <w:t xml:space="preserve"> Reads the router's dispatch table, the</w:t>
      </w:r>
    </w:p>
    <w:p>
      <w:r>
        <w:t>tool modules on disk, and the declaration; fails in either direction — a tool that runs and is not declared, or is declared and not reachable. At the target this gate's inputs converge into the one registry: the router's dispatch table becomes the registry's subscriptions and the declaration becomes the registry entry, so declared-equals-dispatched is one document checked against the disk.</w:t>
      </w:r>
    </w:p>
    <w:p>
      <w:pPr>
        <w:pStyle w:val="ListNumber"/>
      </w:pPr>
      <w:r>
        <w:rPr>
          <w:b/>
        </w:rPr>
        <w:t>A capability is complete.</w:t>
      </w:r>
      <w:r>
        <w:t xml:space="preserve"> Fails where a capability lacks one of its</w:t>
      </w:r>
    </w:p>
    <w:p>
      <w:r>
        <w:t>four tools, or where a tool is declared without a server and an endpoint.</w:t>
      </w:r>
    </w:p>
    <w:p>
      <w:r>
        <w:rPr>
          <w:i/>
        </w:rPr>
        <w:t>Proof:</w:t>
      </w:r>
      <w:r>
        <w:t xml:space="preserve"> each of the three goes red against a violation that exists today, and the numbers are recorded as the baseline. No code has moved.</w:t>
      </w:r>
    </w:p>
    <w:p>
      <w:r>
        <w:rPr>
          <w:i/>
        </w:rPr>
        <w:t>Note on the baseline:</w:t>
      </w:r>
      <w:r>
        <w:t xml:space="preserve"> two careful readings of the same code produced different counts of conforming tools, because they disagreed about what conformance means at the edges. This plan therefore asserts no figure. Whatever the gate says on its first run is the baseline.</w:t>
      </w:r>
    </w:p>
    <w:p>
      <w:pPr>
        <w:pStyle w:val="Heading3"/>
      </w:pPr>
      <w:r>
        <w:t>Phase 1 — the contract</w:t>
      </w:r>
    </w:p>
    <w:p>
      <w:r>
        <w:t>One base contract in the library: what a capability's search takes (the utterance and the prior dialogue, and nothing else), what it returns, how it fails, and where it is served — read from the declaration rather than written into the caller.</w:t>
      </w:r>
    </w:p>
    <w:p>
      <w:pPr/>
      <w:r>
        <w:t>The same contract is where the classifier retires. The hand-maintained classifier prompt, the intent taxonomy and the classification machinery do not survive the target: they become the UtteranceManager's cached preamble plus the registry-assembled fragments, answered in one model call. Whether the user-facing prose is authored by a separate tool or by the UtteranceManager itself is an open question this plan does not settle: the design records both — user-facing prose as its own tool, and the UtteranceManager answering with a refinement when no route's needs are met — and reconciles neither. This plan does not build the UtteranceManager, but a capability whose search moves onto the base contract is a capability whose classifier retires as its routes go, so the seam is drawn here and closed where the registry lands.</w:t>
      </w:r>
    </w:p>
    <w:p>
      <w:r>
        <w:t>This is first among the changes because splitting fourteen routes without it produces five modules that disagree in the same ways the fourteen routes disagree now.</w:t>
      </w:r>
    </w:p>
    <w:p>
      <w:r>
        <w:rPr>
          <w:i/>
        </w:rPr>
        <w:t>Proof:</w:t>
      </w:r>
      <w:r>
        <w:t xml:space="preserve"> the contract exists, gate 2 can test conformance against it, and no number moves.</w:t>
      </w:r>
    </w:p>
    <w:p>
      <w:pPr>
        <w:pStyle w:val="Heading3"/>
      </w:pPr>
      <w:r>
        <w:t>Phase 2 — the low-risk half of `Code/`</w:t>
      </w:r>
    </w:p>
    <w:p>
      <w:r>
        <w:t>Thirty-one files, no runtime behaviour change, done in one pass per group.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group</w:t>
            </w:r>
          </w:p>
        </w:tc>
        <w:tc>
          <w:tcPr>
            <w:tcW w:type="dxa" w:w="2880"/>
          </w:tcPr>
          <w:p>
            <w:r>
              <w:rPr>
                <w:b/>
                <w:sz w:val="22"/>
              </w:rPr>
            </w:r>
            <w:r>
              <w:rPr>
                <w:b/>
                <w:sz w:val="22"/>
              </w:rPr>
              <w:t>n</w:t>
            </w:r>
          </w:p>
        </w:tc>
        <w:tc>
          <w:tcPr>
            <w:tcW w:type="dxa" w:w="2880"/>
          </w:tcPr>
          <w:p>
            <w:r>
              <w:rPr>
                <w:b/>
                <w:sz w:val="22"/>
              </w:rPr>
            </w:r>
            <w:r>
              <w:rPr>
                <w:b/>
                <w:sz w:val="22"/>
              </w:rPr>
              <w:t>action</w:t>
            </w:r>
          </w:p>
        </w:tc>
      </w:tr>
      <w:tr>
        <w:tc>
          <w:tcPr>
            <w:tcW w:type="dxa" w:w="2880"/>
          </w:tcPr>
          <w:p>
            <w:r>
              <w:rPr>
                <w:sz w:val="22"/>
              </w:rPr>
            </w:r>
            <w:r>
              <w:rPr>
                <w:rFonts w:ascii="Consolas" w:hAnsi="Consolas"/>
                <w:sz w:val="22"/>
              </w:rPr>
              <w:t>llm_client.py</w:t>
            </w:r>
          </w:p>
        </w:tc>
        <w:tc>
          <w:tcPr>
            <w:tcW w:type="dxa" w:w="2880"/>
          </w:tcPr>
          <w:p>
            <w:r>
              <w:rPr>
                <w:sz w:val="22"/>
              </w:rPr>
            </w:r>
            <w:r>
              <w:rPr>
                <w:sz w:val="22"/>
              </w:rPr>
              <w:t>1</w:t>
            </w:r>
          </w:p>
        </w:tc>
        <w:tc>
          <w:tcPr>
            <w:tcW w:type="dxa" w:w="2880"/>
          </w:tcPr>
          <w:p>
            <w:r>
              <w:rPr>
                <w:sz w:val="22"/>
              </w:rPr>
            </w:r>
            <w:r>
              <w:rPr>
                <w:sz w:val="22"/>
              </w:rPr>
              <w:t>delete — no importer anywhere in the repository</w:t>
            </w:r>
          </w:p>
        </w:tc>
      </w:tr>
      <w:tr>
        <w:tc>
          <w:tcPr>
            <w:tcW w:type="dxa" w:w="2880"/>
          </w:tcPr>
          <w:p>
            <w:r>
              <w:rPr>
                <w:sz w:val="22"/>
              </w:rPr>
            </w:r>
            <w:r>
              <w:rPr>
                <w:rFonts w:ascii="Consolas" w:hAnsi="Consolas"/>
                <w:sz w:val="22"/>
              </w:rPr>
              <w:t>promote_data.py</w:t>
            </w:r>
          </w:p>
        </w:tc>
        <w:tc>
          <w:tcPr>
            <w:tcW w:type="dxa" w:w="2880"/>
          </w:tcPr>
          <w:p>
            <w:r>
              <w:rPr>
                <w:sz w:val="22"/>
              </w:rPr>
            </w:r>
            <w:r>
              <w:rPr>
                <w:sz w:val="22"/>
              </w:rPr>
              <w:t>1</w:t>
            </w:r>
          </w:p>
        </w:tc>
        <w:tc>
          <w:tcPr>
            <w:tcW w:type="dxa" w:w="2880"/>
          </w:tcPr>
          <w:p>
            <w:r>
              <w:rPr>
                <w:sz w:val="22"/>
              </w:rPr>
            </w:r>
            <w:r>
              <w:rPr>
                <w:sz w:val="22"/>
              </w:rPr>
              <w:t>delete — an undeclared writer holding drop-and-refill on the served database</w:t>
            </w:r>
          </w:p>
        </w:tc>
      </w:tr>
      <w:tr>
        <w:tc>
          <w:tcPr>
            <w:tcW w:type="dxa" w:w="2880"/>
          </w:tcPr>
          <w:p>
            <w:r>
              <w:rPr>
                <w:sz w:val="22"/>
              </w:rPr>
            </w:r>
            <w:r>
              <w:rPr>
                <w:sz w:val="22"/>
              </w:rPr>
              <w:t>about content</w:t>
            </w:r>
          </w:p>
        </w:tc>
        <w:tc>
          <w:tcPr>
            <w:tcW w:type="dxa" w:w="2880"/>
          </w:tcPr>
          <w:p>
            <w:r>
              <w:rPr>
                <w:sz w:val="22"/>
              </w:rPr>
            </w:r>
            <w:r>
              <w:rPr>
                <w:sz w:val="22"/>
              </w:rPr>
              <w:t>5</w:t>
            </w:r>
          </w:p>
        </w:tc>
        <w:tc>
          <w:tcPr>
            <w:tcW w:type="dxa" w:w="2880"/>
          </w:tcPr>
          <w:p>
            <w:r>
              <w:rPr>
                <w:sz w:val="22"/>
              </w:rPr>
            </w:r>
            <w:r>
              <w:rPr>
                <w:sz w:val="22"/>
              </w:rPr>
              <w:t xml:space="preserve">move to </w:t>
            </w:r>
            <w:r>
              <w:rPr>
                <w:rFonts w:ascii="Consolas" w:hAnsi="Consolas"/>
                <w:sz w:val="22"/>
              </w:rPr>
              <w:t>sharedServices/Code/AboutChatHealthy/</w:t>
            </w:r>
          </w:p>
        </w:tc>
      </w:tr>
      <w:tr>
        <w:tc>
          <w:tcPr>
            <w:tcW w:type="dxa" w:w="2880"/>
          </w:tcPr>
          <w:p>
            <w:r>
              <w:rPr>
                <w:sz w:val="22"/>
              </w:rPr>
            </w:r>
            <w:r>
              <w:rPr>
                <w:rFonts w:ascii="Consolas" w:hAnsi="Consolas"/>
                <w:sz w:val="22"/>
              </w:rPr>
              <w:t>Shared/ops/*</w:t>
            </w:r>
            <w:r>
              <w:rPr>
                <w:sz w:val="22"/>
              </w:rPr>
              <w:t xml:space="preserve"> tooling, Caddyfile, uat_report</w:t>
            </w:r>
          </w:p>
        </w:tc>
        <w:tc>
          <w:tcPr>
            <w:tcW w:type="dxa" w:w="2880"/>
          </w:tcPr>
          <w:p>
            <w:r>
              <w:rPr>
                <w:sz w:val="22"/>
              </w:rPr>
            </w:r>
            <w:r>
              <w:rPr>
                <w:sz w:val="22"/>
              </w:rPr>
              <w:t>9</w:t>
            </w:r>
          </w:p>
        </w:tc>
        <w:tc>
          <w:tcPr>
            <w:tcW w:type="dxa" w:w="2880"/>
          </w:tcPr>
          <w:p>
            <w:r>
              <w:rPr>
                <w:sz w:val="22"/>
              </w:rPr>
            </w:r>
            <w:r>
              <w:rPr>
                <w:sz w:val="22"/>
              </w:rPr>
              <w:t xml:space="preserve">move to </w:t>
            </w:r>
            <w:r>
              <w:rPr>
                <w:rFonts w:ascii="Consolas" w:hAnsi="Consolas"/>
                <w:sz w:val="22"/>
              </w:rPr>
              <w:t>architecture/DevOpsBuildDeployAndEnvironmentManagement/</w:t>
            </w:r>
          </w:p>
        </w:tc>
      </w:tr>
      <w:tr>
        <w:tc>
          <w:tcPr>
            <w:tcW w:type="dxa" w:w="2880"/>
          </w:tcPr>
          <w:p>
            <w:r>
              <w:rPr>
                <w:sz w:val="22"/>
              </w:rPr>
            </w:r>
            <w:r>
              <w:rPr>
                <w:rFonts w:ascii="Consolas" w:hAnsi="Consolas"/>
                <w:sz w:val="22"/>
              </w:rPr>
              <w:t>Shared/ops/tools/*</w:t>
            </w:r>
          </w:p>
        </w:tc>
        <w:tc>
          <w:tcPr>
            <w:tcW w:type="dxa" w:w="2880"/>
          </w:tcPr>
          <w:p>
            <w:r>
              <w:rPr>
                <w:sz w:val="22"/>
              </w:rPr>
            </w:r>
            <w:r>
              <w:rPr>
                <w:sz w:val="22"/>
              </w:rPr>
              <w:t>6</w:t>
            </w:r>
          </w:p>
        </w:tc>
        <w:tc>
          <w:tcPr>
            <w:tcW w:type="dxa" w:w="2880"/>
          </w:tcPr>
          <w:p>
            <w:r>
              <w:rPr>
                <w:sz w:val="22"/>
              </w:rPr>
            </w:r>
            <w:r>
              <w:rPr>
                <w:sz w:val="22"/>
              </w:rPr>
              <w:t xml:space="preserve">move to </w:t>
            </w:r>
            <w:r>
              <w:rPr>
                <w:rFonts w:ascii="Consolas" w:hAnsi="Consolas"/>
                <w:sz w:val="22"/>
              </w:rPr>
              <w:t>architecture/EngineeringRuleEnforcement/</w:t>
            </w:r>
            <w:r>
              <w:rPr>
                <w:sz w:val="22"/>
              </w:rPr>
              <w:t xml:space="preserve"> — includes the Rule-002 authorisation</w:t>
            </w:r>
          </w:p>
        </w:tc>
      </w:tr>
      <w:tr>
        <w:tc>
          <w:tcPr>
            <w:tcW w:type="dxa" w:w="2880"/>
          </w:tcPr>
          <w:p>
            <w:r>
              <w:rPr>
                <w:sz w:val="22"/>
              </w:rPr>
            </w:r>
            <w:r>
              <w:rPr>
                <w:sz w:val="22"/>
              </w:rPr>
              <w:t>certs</w:t>
            </w:r>
          </w:p>
        </w:tc>
        <w:tc>
          <w:tcPr>
            <w:tcW w:type="dxa" w:w="2880"/>
          </w:tcPr>
          <w:p>
            <w:r>
              <w:rPr>
                <w:sz w:val="22"/>
              </w:rPr>
            </w:r>
            <w:r>
              <w:rPr>
                <w:sz w:val="22"/>
              </w:rPr>
              <w:t>6</w:t>
            </w:r>
          </w:p>
        </w:tc>
        <w:tc>
          <w:tcPr>
            <w:tcW w:type="dxa" w:w="2880"/>
          </w:tcPr>
          <w:p>
            <w:r>
              <w:rPr>
                <w:sz w:val="22"/>
              </w:rPr>
            </w:r>
            <w:r>
              <w:rPr>
                <w:sz w:val="22"/>
              </w:rPr>
            </w:r>
            <w:r>
              <w:rPr>
                <w:b/>
                <w:sz w:val="22"/>
              </w:rPr>
            </w:r>
          </w:p>
        </w:tc>
      </w:tr>
      <w:tr>
        <w:tc>
          <w:tcPr>
            <w:tcW w:type="dxa" w:w="2880"/>
          </w:tcPr>
          <w:p>
            <w:r>
              <w:rPr>
                <w:sz w:val="22"/>
              </w:rPr>
            </w:r>
            <w:r>
              <w:rPr>
                <w:rFonts w:ascii="Consolas" w:hAnsi="Consolas"/>
                <w:sz w:val="22"/>
              </w:rPr>
              <w:t>prompt_system_maker.py</w:t>
            </w:r>
          </w:p>
        </w:tc>
        <w:tc>
          <w:tcPr>
            <w:tcW w:type="dxa" w:w="2880"/>
          </w:tcPr>
          <w:p>
            <w:r>
              <w:rPr>
                <w:sz w:val="22"/>
              </w:rPr>
            </w:r>
            <w:r>
              <w:rPr>
                <w:sz w:val="22"/>
              </w:rPr>
              <w:t>1</w:t>
            </w:r>
          </w:p>
        </w:tc>
        <w:tc>
          <w:tcPr>
            <w:tcW w:type="dxa" w:w="2880"/>
          </w:tcPr>
          <w:p>
            <w:r>
              <w:rPr>
                <w:sz w:val="22"/>
              </w:rPr>
            </w:r>
            <w:r>
              <w:rPr>
                <w:sz w:val="22"/>
              </w:rPr>
            </w:r>
            <w:r>
              <w:rPr>
                <w:b/>
                <w:sz w:val="22"/>
              </w:rPr>
            </w:r>
          </w:p>
        </w:tc>
      </w:tr>
      <w:tr>
        <w:tc>
          <w:tcPr>
            <w:tcW w:type="dxa" w:w="2880"/>
          </w:tcPr>
          <w:p>
            <w:r>
              <w:rPr>
                <w:sz w:val="22"/>
              </w:rPr>
            </w:r>
            <w:r>
              <w:rPr>
                <w:rFonts w:ascii="Consolas" w:hAnsi="Consolas"/>
                <w:sz w:val="22"/>
              </w:rPr>
              <w:t>skip_pipelineTest.http</w:t>
            </w:r>
          </w:p>
        </w:tc>
        <w:tc>
          <w:tcPr>
            <w:tcW w:type="dxa" w:w="2880"/>
          </w:tcPr>
          <w:p>
            <w:r>
              <w:rPr>
                <w:sz w:val="22"/>
              </w:rPr>
            </w:r>
            <w:r>
              <w:rPr>
                <w:sz w:val="22"/>
              </w:rPr>
              <w:t>1</w:t>
            </w:r>
          </w:p>
        </w:tc>
        <w:tc>
          <w:tcPr>
            <w:tcW w:type="dxa" w:w="2880"/>
          </w:tcPr>
          <w:p>
            <w:r>
              <w:rPr>
                <w:sz w:val="22"/>
              </w:rPr>
            </w:r>
            <w:r>
              <w:rPr>
                <w:sz w:val="22"/>
              </w:rPr>
              <w:t>delete — a scratch HTTP file</w:t>
            </w:r>
          </w:p>
        </w:tc>
      </w:tr>
      <w:tr>
        <w:tc>
          <w:tcPr>
            <w:tcW w:type="dxa" w:w="2880"/>
          </w:tcPr>
          <w:p>
            <w:r>
              <w:rPr>
                <w:sz w:val="22"/>
              </w:rPr>
            </w:r>
            <w:r>
              <w:rPr>
                <w:rFonts w:ascii="Consolas" w:hAnsi="Consolas"/>
                <w:sz w:val="22"/>
              </w:rPr>
              <w:t>backend/README.md</w:t>
            </w:r>
          </w:p>
        </w:tc>
        <w:tc>
          <w:tcPr>
            <w:tcW w:type="dxa" w:w="2880"/>
          </w:tcPr>
          <w:p>
            <w:r>
              <w:rPr>
                <w:sz w:val="22"/>
              </w:rPr>
            </w:r>
            <w:r>
              <w:rPr>
                <w:sz w:val="22"/>
              </w:rPr>
              <w:t>1</w:t>
            </w:r>
          </w:p>
        </w:tc>
        <w:tc>
          <w:tcPr>
            <w:tcW w:type="dxa" w:w="2880"/>
          </w:tcPr>
          <w:p>
            <w:r>
              <w:rPr>
                <w:sz w:val="22"/>
              </w:rPr>
            </w:r>
            <w:r>
              <w:rPr>
                <w:sz w:val="22"/>
              </w:rPr>
              <w:t>delete — it documents the directory being removed</w:t>
            </w:r>
          </w:p>
        </w:tc>
      </w:tr>
    </w:tbl>
    <w:p/>
    <w:p>
      <w:r>
        <w:rPr>
          <w:i/>
        </w:rPr>
        <w:t>Proof:</w:t>
      </w:r>
      <w:r>
        <w:t xml:space="preserve"> build passes, deploy verifies, gate 1's reference count falls by the number moved, and the front end is untouched because none of these files is on a runtime path.</w:t>
      </w:r>
    </w:p>
    <w:p>
      <w:pPr>
        <w:pStyle w:val="Heading3"/>
      </w:pPr>
      <w:r>
        <w:t>Phase 3 — split `app.py` by capability</w:t>
      </w:r>
    </w:p>
    <w:p>
      <w:r>
        <w:t>One file, 2,000 lines, fourteen routes, every FindCare capability's server side in it. This is why two neighbours in one file implement the same idea two ways.</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routes</w:t>
            </w:r>
          </w:p>
        </w:tc>
        <w:tc>
          <w:tcPr>
            <w:tcW w:type="dxa" w:w="4320"/>
          </w:tcPr>
          <w:p>
            <w:r>
              <w:rPr>
                <w:b/>
                <w:sz w:val="22"/>
              </w:rPr>
            </w:r>
            <w:r>
              <w:rPr>
                <w:b/>
                <w:sz w:val="22"/>
              </w:rPr>
              <w:t>destination</w:t>
            </w:r>
          </w:p>
        </w:tc>
      </w:tr>
      <w:tr>
        <w:tc>
          <w:tcPr>
            <w:tcW w:type="dxa" w:w="4320"/>
          </w:tcPr>
          <w:p>
            <w:r>
              <w:rPr>
                <w:sz w:val="22"/>
              </w:rPr>
            </w:r>
            <w:r>
              <w:rPr>
                <w:rFonts w:ascii="Consolas" w:hAnsi="Consolas"/>
                <w:sz w:val="22"/>
              </w:rPr>
              <w:t>/provider/find</w:t>
            </w:r>
            <w:r>
              <w:rPr>
                <w:sz w:val="22"/>
              </w:rPr>
              <w:t xml:space="preserve">, </w:t>
            </w:r>
            <w:r>
              <w:rPr>
                <w:rFonts w:ascii="Consolas" w:hAnsi="Consolas"/>
                <w:sz w:val="22"/>
              </w:rPr>
              <w:t>/search</w:t>
            </w:r>
            <w:r>
              <w:rPr>
                <w:sz w:val="22"/>
              </w:rPr>
              <w:t xml:space="preserve">, </w:t>
            </w:r>
            <w:r>
              <w:rPr>
                <w:rFonts w:ascii="Consolas" w:hAnsi="Consolas"/>
                <w:sz w:val="22"/>
              </w:rPr>
              <w:t>/provider/exclusions</w:t>
            </w:r>
          </w:p>
        </w:tc>
        <w:tc>
          <w:tcPr>
            <w:tcW w:type="dxa" w:w="4320"/>
          </w:tcPr>
          <w:p>
            <w:r>
              <w:rPr>
                <w:sz w:val="22"/>
              </w:rPr>
            </w:r>
            <w:r>
              <w:rPr>
                <w:rFonts w:ascii="Consolas" w:hAnsi="Consolas"/>
                <w:sz w:val="22"/>
              </w:rPr>
              <w:t>FindCare/ProviderManagement/</w:t>
            </w:r>
          </w:p>
        </w:tc>
      </w:tr>
      <w:tr>
        <w:tc>
          <w:tcPr>
            <w:tcW w:type="dxa" w:w="4320"/>
          </w:tcPr>
          <w:p>
            <w:r>
              <w:rPr>
                <w:sz w:val="22"/>
              </w:rPr>
            </w:r>
            <w:r>
              <w:rPr>
                <w:rFonts w:ascii="Consolas" w:hAnsi="Consolas"/>
                <w:sz w:val="22"/>
              </w:rPr>
              <w:t>/provider-detail</w:t>
            </w:r>
            <w:r>
              <w:rPr>
                <w:sz w:val="22"/>
              </w:rPr>
              <w:t xml:space="preserve">, </w:t>
            </w:r>
            <w:r>
              <w:rPr>
                <w:rFonts w:ascii="Consolas" w:hAnsi="Consolas"/>
                <w:sz w:val="22"/>
              </w:rPr>
              <w:t>/page/detail-open</w:t>
            </w:r>
            <w:r>
              <w:rPr>
                <w:sz w:val="22"/>
              </w:rPr>
              <w:t xml:space="preserve">, </w:t>
            </w:r>
            <w:r>
              <w:rPr>
                <w:rFonts w:ascii="Consolas" w:hAnsi="Consolas"/>
                <w:sz w:val="22"/>
              </w:rPr>
              <w:t>/page/detail-close</w:t>
            </w:r>
          </w:p>
        </w:tc>
        <w:tc>
          <w:tcPr>
            <w:tcW w:type="dxa" w:w="4320"/>
          </w:tcPr>
          <w:p>
            <w:r>
              <w:rPr>
                <w:sz w:val="22"/>
              </w:rPr>
            </w:r>
            <w:r>
              <w:rPr>
                <w:rFonts w:ascii="Consolas" w:hAnsi="Consolas"/>
                <w:sz w:val="22"/>
              </w:rPr>
              <w:t>FindCare/ProviderDetail/</w:t>
            </w:r>
          </w:p>
        </w:tc>
      </w:tr>
      <w:tr>
        <w:tc>
          <w:tcPr>
            <w:tcW w:type="dxa" w:w="4320"/>
          </w:tcPr>
          <w:p>
            <w:r>
              <w:rPr>
                <w:sz w:val="22"/>
              </w:rPr>
            </w:r>
            <w:r>
              <w:rPr>
                <w:rFonts w:ascii="Consolas" w:hAnsi="Consolas"/>
                <w:sz w:val="22"/>
              </w:rPr>
              <w:t>/facility/find</w:t>
            </w:r>
            <w:r>
              <w:rPr>
                <w:sz w:val="22"/>
              </w:rPr>
              <w:t xml:space="preserve">, </w:t>
            </w:r>
            <w:r>
              <w:rPr>
                <w:rFonts w:ascii="Consolas" w:hAnsi="Consolas"/>
                <w:sz w:val="22"/>
              </w:rPr>
              <w:t>/facility/page</w:t>
            </w:r>
          </w:p>
        </w:tc>
        <w:tc>
          <w:tcPr>
            <w:tcW w:type="dxa" w:w="4320"/>
          </w:tcPr>
          <w:p>
            <w:r>
              <w:rPr>
                <w:sz w:val="22"/>
              </w:rPr>
            </w:r>
            <w:r>
              <w:rPr>
                <w:rFonts w:ascii="Consolas" w:hAnsi="Consolas"/>
                <w:sz w:val="22"/>
              </w:rPr>
              <w:t>FindCare/FacilitySearch/</w:t>
            </w:r>
            <w:r>
              <w:rPr>
                <w:sz w:val="22"/>
              </w:rPr>
              <w:t xml:space="preserve"> (new)</w:t>
            </w:r>
          </w:p>
        </w:tc>
      </w:tr>
      <w:tr>
        <w:tc>
          <w:tcPr>
            <w:tcW w:type="dxa" w:w="4320"/>
          </w:tcPr>
          <w:p>
            <w:r>
              <w:rPr>
                <w:sz w:val="22"/>
              </w:rPr>
            </w:r>
            <w:r>
              <w:rPr>
                <w:rFonts w:ascii="Consolas" w:hAnsi="Consolas"/>
                <w:sz w:val="22"/>
              </w:rPr>
              <w:t>/specialty/find</w:t>
            </w:r>
            <w:r>
              <w:rPr>
                <w:sz w:val="22"/>
              </w:rPr>
              <w:t xml:space="preserve">, </w:t>
            </w:r>
            <w:r>
              <w:rPr>
                <w:rFonts w:ascii="Consolas" w:hAnsi="Consolas"/>
                <w:sz w:val="22"/>
              </w:rPr>
              <w:t>/nucc/classify</w:t>
            </w:r>
          </w:p>
        </w:tc>
        <w:tc>
          <w:tcPr>
            <w:tcW w:type="dxa" w:w="4320"/>
          </w:tcPr>
          <w:p>
            <w:r>
              <w:rPr>
                <w:sz w:val="22"/>
              </w:rPr>
            </w:r>
            <w:r>
              <w:rPr>
                <w:rFonts w:ascii="Consolas" w:hAnsi="Consolas"/>
                <w:sz w:val="22"/>
              </w:rPr>
              <w:t>FindCare/SpecialtyFilter/</w:t>
            </w:r>
          </w:p>
        </w:tc>
      </w:tr>
      <w:tr>
        <w:tc>
          <w:tcPr>
            <w:tcW w:type="dxa" w:w="4320"/>
          </w:tcPr>
          <w:p>
            <w:r>
              <w:rPr>
                <w:sz w:val="22"/>
              </w:rPr>
            </w:r>
            <w:r>
              <w:rPr>
                <w:rFonts w:ascii="Consolas" w:hAnsi="Consolas"/>
                <w:sz w:val="22"/>
              </w:rPr>
              <w:t>/trial/find</w:t>
            </w:r>
          </w:p>
        </w:tc>
        <w:tc>
          <w:tcPr>
            <w:tcW w:type="dxa" w:w="4320"/>
          </w:tcPr>
          <w:p>
            <w:r>
              <w:rPr>
                <w:sz w:val="22"/>
              </w:rPr>
            </w:r>
            <w:r>
              <w:rPr>
                <w:rFonts w:ascii="Consolas" w:hAnsi="Consolas"/>
                <w:sz w:val="22"/>
              </w:rPr>
              <w:t>FindCare/ClinicalTrials/</w:t>
            </w:r>
          </w:p>
        </w:tc>
      </w:tr>
      <w:tr>
        <w:tc>
          <w:tcPr>
            <w:tcW w:type="dxa" w:w="4320"/>
          </w:tcPr>
          <w:p>
            <w:r>
              <w:rPr>
                <w:sz w:val="22"/>
              </w:rPr>
            </w:r>
            <w:r>
              <w:rPr>
                <w:rFonts w:ascii="Consolas" w:hAnsi="Consolas"/>
                <w:sz w:val="22"/>
              </w:rPr>
              <w:t>/health</w:t>
            </w:r>
            <w:r>
              <w:rPr>
                <w:sz w:val="22"/>
              </w:rPr>
              <w:t xml:space="preserve">, </w:t>
            </w:r>
            <w:r>
              <w:rPr>
                <w:rFonts w:ascii="Consolas" w:hAnsi="Consolas"/>
                <w:sz w:val="22"/>
              </w:rPr>
              <w:t>/welcome</w:t>
            </w:r>
            <w:r>
              <w:rPr>
                <w:sz w:val="22"/>
              </w:rPr>
              <w:t xml:space="preserve">, </w:t>
            </w:r>
            <w:r>
              <w:rPr>
                <w:rFonts w:ascii="Consolas" w:hAnsi="Consolas"/>
                <w:sz w:val="22"/>
              </w:rPr>
              <w:t>/page/what-is-needed</w:t>
            </w:r>
          </w:p>
        </w:tc>
        <w:tc>
          <w:tcPr>
            <w:tcW w:type="dxa" w:w="4320"/>
          </w:tcPr>
          <w:p>
            <w:r>
              <w:rPr>
                <w:sz w:val="22"/>
              </w:rPr>
            </w:r>
            <w:r>
              <w:rPr>
                <w:sz w:val="22"/>
              </w:rPr>
              <w:t>the service runtime — /welcome here is superseded by Phase 5a, which routes it through a Gate op and then deletes the route</w:t>
            </w:r>
          </w:p>
        </w:tc>
      </w:tr>
    </w:tbl>
    <w:p/>
    <w:p>
      <w:r>
        <w:t xml:space="preserve">Plus the fourteen domain, application and infrastructure files that move with them, and the </w:t>
      </w:r>
      <w:r>
        <w:rPr>
          <w:rFonts w:ascii="Consolas" w:hAnsi="Consolas"/>
          <w:sz w:val="17"/>
        </w:rPr>
        <w:t>__init__.py</w:t>
      </w:r>
      <w:r>
        <w:t xml:space="preserve"> files that die with their packages.</w:t>
      </w:r>
    </w:p>
    <w:p>
      <w:r>
        <w:rPr>
          <w:b/>
        </w:rPr>
        <w:t>Order within the phase: the detail routes first</w:t>
      </w:r>
      <w:r>
        <w:t xml:space="preserve"> — smallest, best covered by tests — to prove the pattern before the search routes move. Each capability conforms to Phase 1's contract as it moves. And each conforms to the throw discipline the architectures set: a tool in the middle re-raises to the navigator that called it and never swallows, so every failure ends where it can be classified, logged and answered.</w:t>
      </w:r>
    </w:p>
    <w:p>
      <w:r>
        <w:rPr>
          <w:i/>
        </w:rPr>
        <w:t>Proof:</w:t>
      </w:r>
      <w:r>
        <w:t xml:space="preserve"> per capability — build passes, deploy verifies, the Playwright suites hold at their known counts (desktop 109/1, phone 104/6), and no gate number falls.</w:t>
      </w:r>
    </w:p>
    <w:p>
      <w:pPr>
        <w:pStyle w:val="Heading3"/>
      </w:pPr>
      <w:r>
        <w:t>Phase 4 — the router stops doing the work</w:t>
      </w:r>
    </w:p>
    <w:p>
      <w:r>
        <w:t>Three search actions dispatch the tool named for them; the inline blocks go, including the one that builds its own HTTP client. Safe only now, because the far side is a per-capability module rather than a shared file.</w:t>
      </w:r>
    </w:p>
    <w:p>
      <w:r>
        <w:t xml:space="preserve">Then the residue Phase 3 does not touch: </w:t>
      </w:r>
      <w:r>
        <w:rPr>
          <w:rFonts w:ascii="Consolas" w:hAnsi="Consolas"/>
          <w:sz w:val="17"/>
        </w:rPr>
        <w:t>_ACTION_PAGES</w:t>
      </w:r>
      <w:r>
        <w:t xml:space="preserve">, the capability entries in </w:t>
      </w:r>
      <w:r>
        <w:rPr>
          <w:rFonts w:ascii="Consolas" w:hAnsi="Consolas"/>
          <w:sz w:val="17"/>
        </w:rPr>
        <w:t>_OP_HANDLERS</w:t>
      </w:r>
      <w:r>
        <w:t xml:space="preserve">, </w:t>
      </w:r>
      <w:r>
        <w:rPr>
          <w:rFonts w:ascii="Consolas" w:hAnsi="Consolas"/>
          <w:sz w:val="17"/>
        </w:rPr>
        <w:t>_TURN_OPS</w:t>
      </w:r>
      <w:r>
        <w:t>, and the page-and-tool map are per-capability tables living in the router. They derive from the declaration or the claim that a new capability needs no router change stays false.</w:t>
      </w:r>
    </w:p>
    <w:p>
      <w:r>
        <w:rPr>
          <w:i/>
        </w:rPr>
        <w:t>Proof:</w:t>
      </w:r>
      <w:r>
        <w:t xml:space="preserve"> the router holds no HTTP client and no stream shaping for a search; gate 2 goes green; adding a capability is demonstrated as a declaration plus its own files, with no router edit.</w:t>
      </w:r>
    </w:p>
    <w:p>
      <w:pPr>
        <w:pStyle w:val="Heading3"/>
      </w:pPr>
      <w:r>
        <w:t>Phase 5 — the front end, and the rest of `Code/`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group</w:t>
            </w:r>
          </w:p>
        </w:tc>
        <w:tc>
          <w:tcPr>
            <w:tcW w:type="dxa" w:w="2880"/>
          </w:tcPr>
          <w:p>
            <w:r>
              <w:rPr>
                <w:b/>
                <w:sz w:val="22"/>
              </w:rPr>
            </w:r>
            <w:r>
              <w:rPr>
                <w:b/>
                <w:sz w:val="22"/>
              </w:rPr>
              <w:t>n</w:t>
            </w:r>
          </w:p>
        </w:tc>
        <w:tc>
          <w:tcPr>
            <w:tcW w:type="dxa" w:w="2880"/>
          </w:tcPr>
          <w:p>
            <w:r>
              <w:rPr>
                <w:b/>
                <w:sz w:val="22"/>
              </w:rPr>
            </w:r>
            <w:r>
              <w:rPr>
                <w:b/>
                <w:sz w:val="22"/>
              </w:rPr>
              <w:t>action</w:t>
            </w:r>
          </w:p>
        </w:tc>
      </w:tr>
      <w:tr>
        <w:tc>
          <w:tcPr>
            <w:tcW w:type="dxa" w:w="2880"/>
          </w:tcPr>
          <w:p>
            <w:r>
              <w:rPr>
                <w:sz w:val="22"/>
              </w:rPr>
            </w:r>
            <w:r>
              <w:rPr>
                <w:sz w:val="22"/>
              </w:rPr>
              <w:t>5 widgets</w:t>
            </w:r>
          </w:p>
        </w:tc>
        <w:tc>
          <w:tcPr>
            <w:tcW w:type="dxa" w:w="2880"/>
          </w:tcPr>
          <w:p>
            <w:r>
              <w:rPr>
                <w:sz w:val="22"/>
              </w:rPr>
            </w:r>
            <w:r>
              <w:rPr>
                <w:sz w:val="22"/>
              </w:rPr>
              <w:t>5</w:t>
            </w:r>
          </w:p>
        </w:tc>
        <w:tc>
          <w:tcPr>
            <w:tcW w:type="dxa" w:w="2880"/>
          </w:tcPr>
          <w:p>
            <w:r>
              <w:rPr>
                <w:sz w:val="22"/>
              </w:rPr>
            </w:r>
            <w:r>
              <w:rPr>
                <w:sz w:val="22"/>
              </w:rPr>
              <w:t xml:space="preserve">trials → </w:t>
            </w:r>
            <w:r>
              <w:rPr>
                <w:rFonts w:ascii="Consolas" w:hAnsi="Consolas"/>
                <w:sz w:val="22"/>
              </w:rPr>
              <w:t>FindCare/ClinicalTrials</w:t>
            </w:r>
            <w:r>
              <w:rPr>
                <w:sz w:val="22"/>
              </w:rPr>
              <w:t xml:space="preserve">; header and legal panel → </w:t>
            </w:r>
            <w:r>
              <w:rPr>
                <w:rFonts w:ascii="Consolas" w:hAnsi="Consolas"/>
                <w:sz w:val="22"/>
              </w:rPr>
              <w:t>displayChrome</w:t>
            </w:r>
            <w:r>
              <w:rPr>
                <w:sz w:val="22"/>
              </w:rPr>
              <w:t xml:space="preserve">; refinement → </w:t>
            </w:r>
            <w:r>
              <w:rPr>
                <w:rFonts w:ascii="Consolas" w:hAnsi="Consolas"/>
                <w:sz w:val="22"/>
              </w:rPr>
              <w:t>ProviderManagement</w:t>
            </w:r>
            <w:r>
              <w:rPr>
                <w:sz w:val="22"/>
              </w:rPr>
              <w:t xml:space="preserve">; selected providers → </w:t>
            </w:r>
            <w:r>
              <w:rPr>
                <w:rFonts w:ascii="Consolas" w:hAnsi="Consolas"/>
                <w:sz w:val="22"/>
              </w:rPr>
              <w:t>ProviderSelection</w:t>
            </w:r>
          </w:p>
        </w:tc>
      </w:tr>
      <w:tr>
        <w:tc>
          <w:tcPr>
            <w:tcW w:type="dxa" w:w="2880"/>
          </w:tcPr>
          <w:p>
            <w:r>
              <w:rPr>
                <w:sz w:val="22"/>
              </w:rPr>
            </w:r>
            <w:r>
              <w:rPr>
                <w:sz w:val="22"/>
              </w:rPr>
              <w:t>app shell</w:t>
            </w:r>
          </w:p>
        </w:tc>
        <w:tc>
          <w:tcPr>
            <w:tcW w:type="dxa" w:w="2880"/>
          </w:tcPr>
          <w:p>
            <w:r>
              <w:rPr>
                <w:sz w:val="22"/>
              </w:rPr>
            </w:r>
            <w:r>
              <w:rPr>
                <w:sz w:val="22"/>
              </w:rPr>
              <w:t>6</w:t>
            </w:r>
          </w:p>
        </w:tc>
        <w:tc>
          <w:tcPr>
            <w:tcW w:type="dxa" w:w="2880"/>
          </w:tcPr>
          <w:p>
            <w:r>
              <w:rPr>
                <w:sz w:val="22"/>
              </w:rPr>
            </w:r>
            <w:r>
              <w:rPr>
                <w:sz w:val="22"/>
              </w:rPr>
            </w:r>
            <w:r>
              <w:rPr>
                <w:b/>
                <w:sz w:val="22"/>
              </w:rPr>
            </w:r>
          </w:p>
        </w:tc>
      </w:tr>
      <w:tr>
        <w:tc>
          <w:tcPr>
            <w:tcW w:type="dxa" w:w="2880"/>
          </w:tcPr>
          <w:p>
            <w:r>
              <w:rPr>
                <w:sz w:val="22"/>
              </w:rPr>
            </w:r>
            <w:r>
              <w:rPr>
                <w:sz w:val="22"/>
              </w:rPr>
              <w:t>backend tests</w:t>
            </w:r>
          </w:p>
        </w:tc>
        <w:tc>
          <w:tcPr>
            <w:tcW w:type="dxa" w:w="2880"/>
          </w:tcPr>
          <w:p>
            <w:r>
              <w:rPr>
                <w:sz w:val="22"/>
              </w:rPr>
            </w:r>
            <w:r>
              <w:rPr>
                <w:sz w:val="22"/>
              </w:rPr>
              <w:t>14</w:t>
            </w:r>
          </w:p>
        </w:tc>
        <w:tc>
          <w:tcPr>
            <w:tcW w:type="dxa" w:w="2880"/>
          </w:tcPr>
          <w:p>
            <w:r>
              <w:rPr>
                <w:sz w:val="22"/>
              </w:rPr>
            </w:r>
            <w:r>
              <w:rPr>
                <w:sz w:val="22"/>
              </w:rPr>
            </w:r>
            <w:r>
              <w:rPr>
                <w:b/>
                <w:sz w:val="22"/>
              </w:rPr>
            </w:r>
          </w:p>
        </w:tc>
      </w:tr>
      <w:tr>
        <w:tc>
          <w:tcPr>
            <w:tcW w:type="dxa" w:w="2880"/>
          </w:tcPr>
          <w:p>
            <w:r>
              <w:rPr>
                <w:sz w:val="22"/>
              </w:rPr>
            </w:r>
            <w:r>
              <w:rPr>
                <w:sz w:val="22"/>
              </w:rPr>
              <w:t>iPhone tests</w:t>
            </w:r>
          </w:p>
        </w:tc>
        <w:tc>
          <w:tcPr>
            <w:tcW w:type="dxa" w:w="2880"/>
          </w:tcPr>
          <w:p>
            <w:r>
              <w:rPr>
                <w:sz w:val="22"/>
              </w:rPr>
            </w:r>
            <w:r>
              <w:rPr>
                <w:sz w:val="22"/>
              </w:rPr>
              <w:t>2</w:t>
            </w:r>
          </w:p>
        </w:tc>
        <w:tc>
          <w:tcPr>
            <w:tcW w:type="dxa" w:w="2880"/>
          </w:tcPr>
          <w:p>
            <w:r>
              <w:rPr>
                <w:sz w:val="22"/>
              </w:rPr>
            </w:r>
            <w:r>
              <w:rPr>
                <w:sz w:val="22"/>
              </w:rPr>
            </w:r>
            <w:r>
              <w:rPr>
                <w:b/>
                <w:sz w:val="22"/>
              </w:rPr>
            </w:r>
          </w:p>
        </w:tc>
      </w:tr>
    </w:tbl>
    <w:p/>
    <w:p>
      <w:r>
        <w:t xml:space="preserve">Then the build and deploy references that point into the directory: the vite config's root and outDir, </w:t>
      </w:r>
      <w:r>
        <w:rPr>
          <w:rFonts w:ascii="Consolas" w:hAnsi="Consolas"/>
          <w:sz w:val="17"/>
        </w:rPr>
        <w:t>_build_chain</w:t>
      </w:r>
      <w:r>
        <w:t xml:space="preserve">, </w:t>
      </w:r>
      <w:r>
        <w:rPr>
          <w:rFonts w:ascii="Consolas" w:hAnsi="Consolas"/>
          <w:sz w:val="17"/>
        </w:rPr>
        <w:t>_deploy_chain</w:t>
      </w:r>
      <w:r>
        <w:t xml:space="preserve">, </w:t>
      </w:r>
      <w:r>
        <w:rPr>
          <w:rFonts w:ascii="Consolas" w:hAnsi="Consolas"/>
          <w:sz w:val="17"/>
        </w:rPr>
        <w:t>hf_helpers</w:t>
      </w:r>
      <w:r>
        <w:t xml:space="preserve">, </w:t>
      </w:r>
      <w:r>
        <w:rPr>
          <w:rFonts w:ascii="Consolas" w:hAnsi="Consolas"/>
          <w:sz w:val="17"/>
        </w:rPr>
        <w:t>preflight_undefined_names</w:t>
      </w:r>
      <w:r>
        <w:t xml:space="preserve">, and </w:t>
      </w:r>
      <w:r>
        <w:rPr>
          <w:rFonts w:ascii="Consolas" w:hAnsi="Consolas"/>
          <w:sz w:val="17"/>
        </w:rPr>
        <w:t>tsconfig.json</w:t>
      </w:r>
      <w:r>
        <w:t>.</w:t>
      </w:r>
    </w:p>
    <w:p>
      <w:r>
        <w:rPr>
          <w:i/>
        </w:rPr>
        <w:t>Proof:</w:t>
      </w:r>
      <w:r>
        <w:t xml:space="preserve"> the bundle hash is unchanged where only location changed; the suites hold; and gate 1 reads zero.</w:t>
      </w:r>
    </w:p>
    <w:p>
      <w:pPr>
        <w:pStyle w:val="Heading3"/>
      </w:pPr>
      <w:r>
        <w:t>Phase 5a — route the traffic the firm does not originate</w:t>
      </w:r>
    </w:p>
    <w:p>
      <w:r>
        <w:t>Added after two agents found, independently, that no phase of this plan reached it. They are right: every other phase concerns one service's capability contract, its search router, or the deletion of a source directory. The OAuth callback, session issuance and the health probe are SharedServices routes, and nothing here touched them.</w:t>
      </w:r>
    </w:p>
    <w:p>
      <w:r>
        <w:rPr>
          <w:rFonts w:ascii="Consolas" w:hAnsi="Consolas"/>
          <w:sz w:val="17"/>
        </w:rPr>
        <w:t>EPIC-002-F-004-S-001-REQ-B-001</w:t>
      </w:r>
      <w:r>
        <w:t xml:space="preserve"> now requires that a request the firm does not originate arrives at a URI the Gate owns, with the Gate collecting the request facts and handing them to the UniversalNavigator, which dispatches to the tool that handles it. The Gate is a proxy: it dispatches to nothing but the navigator, and the navigator is the only node that takes external traffic.</w:t>
      </w:r>
    </w:p>
    <w:p>
      <w:pPr/>
      <w:r>
        <w:t>One divergence to hand up. The sentence above follows the target design, where the Gate is a dumb proxy and the UniversalNavigator dispatches. If REQ-B-001's own text instead places the dispatch on the Gate, the requirement and the design disagree; the requirement is authoritative, and which one governs is yours to resolve, not mine to settle inside this plan.</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route</w:t>
            </w:r>
          </w:p>
        </w:tc>
        <w:tc>
          <w:tcPr>
            <w:tcW w:type="dxa" w:w="4320"/>
          </w:tcPr>
          <w:p>
            <w:r>
              <w:rPr>
                <w:b/>
                <w:sz w:val="22"/>
              </w:rPr>
            </w:r>
            <w:r>
              <w:rPr>
                <w:b/>
                <w:sz w:val="22"/>
              </w:rPr>
              <w:t>work</w:t>
            </w:r>
          </w:p>
        </w:tc>
      </w:tr>
      <w:tr>
        <w:tc>
          <w:tcPr>
            <w:tcW w:type="dxa" w:w="4320"/>
          </w:tcPr>
          <w:p>
            <w:r>
              <w:rPr>
                <w:sz w:val="22"/>
              </w:rPr>
            </w:r>
            <w:r>
              <w:rPr>
                <w:sz w:val="22"/>
              </w:rPr>
              <w:t>the identity provider's redirect</w:t>
            </w:r>
          </w:p>
        </w:tc>
        <w:tc>
          <w:tcPr>
            <w:tcW w:type="dxa" w:w="4320"/>
          </w:tcPr>
          <w:p>
            <w:r>
              <w:rPr>
                <w:sz w:val="22"/>
              </w:rPr>
            </w:r>
            <w:r>
              <w:rPr>
                <w:sz w:val="22"/>
              </w:rPr>
              <w:t xml:space="preserve">register the callback URI under the Gate; recover the session from the signed </w:t>
            </w:r>
            <w:r>
              <w:rPr>
                <w:rFonts w:ascii="Consolas" w:hAnsi="Consolas"/>
                <w:sz w:val="22"/>
              </w:rPr>
              <w:t>state</w:t>
            </w:r>
            <w:r>
              <w:rPr>
                <w:sz w:val="22"/>
              </w:rPr>
              <w:t xml:space="preserve"> the callback already verifies; hand it to the UniversalNavigator, which dispatches the OAuth tool</w:t>
            </w:r>
          </w:p>
        </w:tc>
      </w:tr>
      <w:tr>
        <w:tc>
          <w:tcPr>
            <w:tcW w:type="dxa" w:w="4320"/>
          </w:tcPr>
          <w:p>
            <w:r>
              <w:rPr>
                <w:sz w:val="22"/>
              </w:rPr>
            </w:r>
            <w:r>
              <w:rPr>
                <w:rFonts w:ascii="Consolas" w:hAnsi="Consolas"/>
                <w:sz w:val="22"/>
              </w:rPr>
              <w:t>/welcome</w:t>
            </w:r>
            <w:r>
              <w:rPr>
                <w:sz w:val="22"/>
              </w:rPr>
              <w:t>, called directly by a browser widget</w:t>
            </w:r>
          </w:p>
        </w:tc>
        <w:tc>
          <w:tcPr>
            <w:tcW w:type="dxa" w:w="4320"/>
          </w:tcPr>
          <w:p>
            <w:r>
              <w:rPr>
                <w:sz w:val="22"/>
              </w:rPr>
            </w:r>
            <w:r>
              <w:rPr>
                <w:sz w:val="22"/>
              </w:rPr>
              <w:t xml:space="preserve">serve it through a Gate op, then </w:t>
            </w:r>
            <w:r>
              <w:rPr>
                <w:b/>
                <w:sz w:val="22"/>
              </w:rPr>
              <w:t>delete the route</w:t>
            </w:r>
            <w:r>
              <w:rPr>
                <w:sz w:val="22"/>
              </w:rPr>
              <w:t xml:space="preserve"> — routing the caller while leaving the door open closes the call site and not the door</w:t>
            </w:r>
          </w:p>
        </w:tc>
      </w:tr>
      <w:tr>
        <w:tc>
          <w:tcPr>
            <w:tcW w:type="dxa" w:w="4320"/>
          </w:tcPr>
          <w:p>
            <w:r>
              <w:rPr>
                <w:sz w:val="22"/>
              </w:rPr>
            </w:r>
            <w:r>
              <w:rPr>
                <w:rFonts w:ascii="Consolas" w:hAnsi="Consolas"/>
                <w:sz w:val="22"/>
              </w:rPr>
              <w:t>/health</w:t>
            </w:r>
          </w:p>
        </w:tc>
        <w:tc>
          <w:tcPr>
            <w:tcW w:type="dxa" w:w="4320"/>
          </w:tcPr>
          <w:p>
            <w:r>
              <w:rPr>
                <w:sz w:val="22"/>
              </w:rPr>
            </w:r>
            <w:r>
              <w:rPr>
                <w:sz w:val="22"/>
              </w:rPr>
              <w:t>the platform probe is not a client call and was a category error to list; what remains is that the route takes no token and answers from Mongo</w:t>
            </w:r>
          </w:p>
        </w:tc>
      </w:tr>
      <w:tr>
        <w:tc>
          <w:tcPr>
            <w:tcW w:type="dxa" w:w="4320"/>
          </w:tcPr>
          <w:p>
            <w:r>
              <w:rPr>
                <w:sz w:val="22"/>
              </w:rPr>
            </w:r>
            <w:r>
              <w:rPr>
                <w:sz w:val="22"/>
              </w:rPr>
              <w:t>session issuance</w:t>
            </w:r>
          </w:p>
        </w:tc>
        <w:tc>
          <w:tcPr>
            <w:tcW w:type="dxa" w:w="4320"/>
          </w:tcPr>
          <w:p>
            <w:r>
              <w:rPr>
                <w:sz w:val="22"/>
              </w:rPr>
            </w:r>
            <w:r>
              <w:rPr>
                <w:sz w:val="22"/>
              </w:rPr>
              <w:t>blocked on an operator decision: an unauthenticated op on the Gate weakens "no op is exempt", a separate endpoint weakens "one entrance"</w:t>
            </w:r>
          </w:p>
        </w:tc>
      </w:tr>
      <w:tr>
        <w:tc>
          <w:tcPr>
            <w:tcW w:type="dxa" w:w="4320"/>
          </w:tcPr>
          <w:p>
            <w:r>
              <w:rPr>
                <w:sz w:val="22"/>
              </w:rPr>
            </w:r>
            <w:r>
              <w:rPr>
                <w:sz w:val="22"/>
              </w:rPr>
              <w:t>the secrets and debug routes</w:t>
            </w:r>
          </w:p>
        </w:tc>
        <w:tc>
          <w:tcPr>
            <w:tcW w:type="dxa" w:w="4320"/>
          </w:tcPr>
          <w:p>
            <w:r>
              <w:rPr>
                <w:sz w:val="22"/>
              </w:rPr>
            </w:r>
            <w:r>
              <w:rPr>
                <w:sz w:val="22"/>
              </w:rPr>
              <w:t>deletion, owned by this phase: both are client-reachable routes outside the Gate, so they go the way /welcome does — the call site rerouted, then the route itself deleted so the door is closed and not merely left ajar</w:t>
            </w:r>
          </w:p>
        </w:tc>
      </w:tr>
    </w:tbl>
    <w:p/>
    <w:p>
      <w:r>
        <w:rPr>
          <w:i/>
        </w:rPr>
        <w:t>Proof:</w:t>
      </w:r>
      <w:r>
        <w:t xml:space="preserve"> every client-reachable route outside the Gate is either dispatched through it or gone, and a check enumerates the routes each service exposes and compares them against the Gate's dispatch map. At the target that dispatch map is the registry's routes — the same closed set of five call types, each with its proof — so this check becomes the registry's rather than a parallel map maintained beside it. The secrets and debug routes have no dispatched form to move to, so this phase simply deletes them, and the same route-enumeration check confirms the move by their absence from every service's exposed set.</w:t>
      </w:r>
    </w:p>
    <w:p>
      <w:r>
        <w:rPr>
          <w:b/>
        </w:rPr>
        <w:t>One honest note on sequence.</w:t>
      </w:r>
      <w:r>
        <w:t xml:space="preserve"> This phase does not depend on the others and the others do not depend on it. It is placed here because that is where it was found, not because anything blocks it — it could run first.</w:t>
      </w:r>
    </w:p>
    <w:p>
      <w:pPr>
        <w:pStyle w:val="Heading3"/>
      </w:pPr>
      <w:r>
        <w:t>Phase 6 — delete the directory</w:t>
      </w:r>
    </w:p>
    <w:p>
      <w:r>
        <w:rPr>
          <w:rFonts w:ascii="Consolas" w:hAnsi="Consolas"/>
          <w:sz w:val="17"/>
        </w:rPr>
        <w:t>git rm -r Code</w:t>
      </w:r>
      <w:r>
        <w:t>. The directory ceases to exist, gate 1 stays green permanently, and any future commit that reintroduces a path under it is refused.</w:t>
      </w:r>
    </w:p>
    <w:p>
      <w:r>
        <w:rPr>
          <w:i/>
        </w:rPr>
        <w:t>Proof:</w:t>
      </w:r>
      <w:r>
        <w:t xml:space="preserve"> the three commands in §0 agree.</w:t>
      </w:r>
    </w:p>
    <w:p>
      <w:pPr>
        <w:pStyle w:val="Heading2"/>
      </w:pPr>
      <w:r>
        <w:t>4. What one step looks like</w:t>
      </w:r>
    </w:p>
    <w:p>
      <w:r>
        <w:drawing>
          <wp:inline xmlns:a="http://schemas.openxmlformats.org/drawingml/2006/main" xmlns:pic="http://schemas.openxmlformats.org/drawingml/2006/picture">
            <wp:extent cx="3118417" cy="6858000"/>
            <wp:docPr id="102" name="mig_step.png"/>
            <wp:cNvGraphicFramePr>
              <a:graphicFrameLocks noChangeAspect="1"/>
            </wp:cNvGraphicFramePr>
            <a:graphic>
              <a:graphicData uri="http://schemas.openxmlformats.org/drawingml/2006/picture">
                <pic:pic>
                  <pic:nvPicPr>
                    <pic:cNvPr id="0" name="mig_step.png"/>
                    <pic:cNvPicPr/>
                  </pic:nvPicPr>
                  <pic:blipFill>
                    <a:blip r:embed="rId102"/>
                    <a:stretch>
                      <a:fillRect/>
                    </a:stretch>
                  </pic:blipFill>
                  <pic:spPr>
                    <a:xfrm>
                      <a:off x="0" y="0"/>
                      <a:ext cx="3118417" cy="6858000"/>
                    </a:xfrm>
                    <a:prstGeom prst="rect"/>
                  </pic:spPr>
                </pic:pic>
              </a:graphicData>
            </a:graphic>
          </wp:inline>
        </w:drawing>
      </w:r>
    </w:p>
    <w:p>
      <w:r>
        <w:rPr>
          <w:i/>
        </w:rPr>
        <w:t xml:space="preserve">Figure. One step in detail: the five moves every file relocation makes, and the gate that catches each mistake. An undeclared file is silently not shipped (BUG-011), which is why the conformance gate, not the build alone, confirms a step is complete.</w:t>
      </w:r>
    </w:p>
    <w:p>
      <w:r>
        <w:t>Every move in Phases 2, 3 and 5 is the same five, and the existing gates make a half-done step fail loudly rather than ship.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p>
        </w:tc>
        <w:tc>
          <w:tcPr>
            <w:tcW w:type="dxa" w:w="2880"/>
          </w:tcPr>
          <w:p>
            <w:r>
              <w:rPr>
                <w:b/>
                <w:sz w:val="22"/>
              </w:rPr>
            </w:r>
            <w:r>
              <w:rPr>
                <w:b/>
                <w:sz w:val="22"/>
              </w:rPr>
              <w:t>move</w:t>
            </w:r>
          </w:p>
        </w:tc>
        <w:tc>
          <w:tcPr>
            <w:tcW w:type="dxa" w:w="2880"/>
          </w:tcPr>
          <w:p>
            <w:r>
              <w:rPr>
                <w:b/>
                <w:sz w:val="22"/>
              </w:rPr>
            </w:r>
            <w:r>
              <w:rPr>
                <w:b/>
                <w:sz w:val="22"/>
              </w:rPr>
              <w:t>what catches a mistake</w:t>
            </w:r>
          </w:p>
        </w:tc>
      </w:tr>
      <w:tr>
        <w:tc>
          <w:tcPr>
            <w:tcW w:type="dxa" w:w="2880"/>
          </w:tcPr>
          <w:p>
            <w:r>
              <w:rPr>
                <w:sz w:val="22"/>
              </w:rPr>
            </w:r>
            <w:r>
              <w:rPr>
                <w:sz w:val="22"/>
              </w:rPr>
              <w:t>1</w:t>
            </w:r>
          </w:p>
        </w:tc>
        <w:tc>
          <w:tcPr>
            <w:tcW w:type="dxa" w:w="2880"/>
          </w:tcPr>
          <w:p>
            <w:r>
              <w:rPr>
                <w:sz w:val="22"/>
              </w:rPr>
            </w:r>
            <w:r>
              <w:rPr>
                <w:sz w:val="22"/>
              </w:rPr>
              <w:t>move the files</w:t>
            </w:r>
          </w:p>
        </w:tc>
        <w:tc>
          <w:tcPr>
            <w:tcW w:type="dxa" w:w="2880"/>
          </w:tcPr>
          <w:p>
            <w:r>
              <w:rPr>
                <w:sz w:val="22"/>
              </w:rPr>
            </w:r>
            <w:r>
              <w:rPr>
                <w:sz w:val="22"/>
              </w:rPr>
              <w:t>—</w:t>
            </w:r>
          </w:p>
        </w:tc>
      </w:tr>
      <w:tr>
        <w:tc>
          <w:tcPr>
            <w:tcW w:type="dxa" w:w="2880"/>
          </w:tcPr>
          <w:p>
            <w:r>
              <w:rPr>
                <w:sz w:val="22"/>
              </w:rPr>
            </w:r>
            <w:r>
              <w:rPr>
                <w:sz w:val="22"/>
              </w:rPr>
              <w:t>2</w:t>
            </w:r>
          </w:p>
        </w:tc>
        <w:tc>
          <w:tcPr>
            <w:tcW w:type="dxa" w:w="2880"/>
          </w:tcPr>
          <w:p>
            <w:r>
              <w:rPr>
                <w:sz w:val="22"/>
              </w:rPr>
            </w:r>
            <w:r>
              <w:rPr>
                <w:sz w:val="22"/>
              </w:rPr>
              <w:t>update the declaration to match</w:t>
            </w:r>
          </w:p>
        </w:tc>
        <w:tc>
          <w:tcPr>
            <w:tcW w:type="dxa" w:w="2880"/>
          </w:tcPr>
          <w:p>
            <w:r>
              <w:rPr>
                <w:sz w:val="22"/>
              </w:rPr>
            </w:r>
            <w:r>
              <w:rPr>
                <w:sz w:val="22"/>
              </w:rPr>
              <w:t xml:space="preserve">the build refuses a </w:t>
            </w:r>
            <w:r>
              <w:rPr>
                <w:rFonts w:ascii="Consolas" w:hAnsi="Consolas"/>
                <w:sz w:val="22"/>
              </w:rPr>
              <w:t>source_location</w:t>
            </w:r>
            <w:r>
              <w:rPr>
                <w:sz w:val="22"/>
              </w:rPr>
              <w:t xml:space="preserve"> not on disk</w:t>
            </w:r>
          </w:p>
        </w:tc>
      </w:tr>
      <w:tr>
        <w:tc>
          <w:tcPr>
            <w:tcW w:type="dxa" w:w="2880"/>
          </w:tcPr>
          <w:p>
            <w:r>
              <w:rPr>
                <w:sz w:val="22"/>
              </w:rPr>
            </w:r>
            <w:r>
              <w:rPr>
                <w:sz w:val="22"/>
              </w:rPr>
              <w:t>3</w:t>
            </w:r>
          </w:p>
        </w:tc>
        <w:tc>
          <w:tcPr>
            <w:tcW w:type="dxa" w:w="2880"/>
          </w:tcPr>
          <w:p>
            <w:r>
              <w:rPr>
                <w:sz w:val="22"/>
              </w:rPr>
            </w:r>
            <w:r>
              <w:rPr>
                <w:sz w:val="22"/>
              </w:rPr>
              <w:t>build</w:t>
            </w:r>
          </w:p>
        </w:tc>
        <w:tc>
          <w:tcPr>
            <w:tcW w:type="dxa" w:w="2880"/>
          </w:tcPr>
          <w:p>
            <w:r>
              <w:rPr>
                <w:sz w:val="22"/>
              </w:rPr>
            </w:r>
            <w:r>
              <w:rPr>
                <w:sz w:val="22"/>
              </w:rPr>
              <w:t>the crosswalk refuses a declared file that is missing</w:t>
            </w:r>
          </w:p>
        </w:tc>
      </w:tr>
      <w:tr>
        <w:tc>
          <w:tcPr>
            <w:tcW w:type="dxa" w:w="2880"/>
          </w:tcPr>
          <w:p>
            <w:r>
              <w:rPr>
                <w:sz w:val="22"/>
              </w:rPr>
            </w:r>
            <w:r>
              <w:rPr>
                <w:sz w:val="22"/>
              </w:rPr>
              <w:t>4</w:t>
            </w:r>
          </w:p>
        </w:tc>
        <w:tc>
          <w:tcPr>
            <w:tcW w:type="dxa" w:w="2880"/>
          </w:tcPr>
          <w:p>
            <w:r>
              <w:rPr>
                <w:sz w:val="22"/>
              </w:rPr>
            </w:r>
            <w:r>
              <w:rPr>
                <w:sz w:val="22"/>
              </w:rPr>
              <w:t>deploy</w:t>
            </w:r>
          </w:p>
        </w:tc>
        <w:tc>
          <w:tcPr>
            <w:tcW w:type="dxa" w:w="2880"/>
          </w:tcPr>
          <w:p>
            <w:r>
              <w:rPr>
                <w:sz w:val="22"/>
              </w:rPr>
            </w:r>
            <w:r>
              <w:rPr>
                <w:sz w:val="22"/>
              </w:rPr>
              <w:t>the deploy verifies the target reports the build it was given</w:t>
            </w:r>
          </w:p>
        </w:tc>
      </w:tr>
      <w:tr>
        <w:tc>
          <w:tcPr>
            <w:tcW w:type="dxa" w:w="2880"/>
          </w:tcPr>
          <w:p>
            <w:r>
              <w:rPr>
                <w:sz w:val="22"/>
              </w:rPr>
            </w:r>
            <w:r>
              <w:rPr>
                <w:sz w:val="22"/>
              </w:rPr>
              <w:t>5</w:t>
            </w:r>
          </w:p>
        </w:tc>
        <w:tc>
          <w:tcPr>
            <w:tcW w:type="dxa" w:w="2880"/>
          </w:tcPr>
          <w:p>
            <w:r>
              <w:rPr>
                <w:sz w:val="22"/>
              </w:rPr>
            </w:r>
            <w:r>
              <w:rPr>
                <w:sz w:val="22"/>
              </w:rPr>
              <w:t>run the gates</w:t>
            </w:r>
          </w:p>
        </w:tc>
        <w:tc>
          <w:tcPr>
            <w:tcW w:type="dxa" w:w="2880"/>
          </w:tcPr>
          <w:p>
            <w:r>
              <w:rPr>
                <w:sz w:val="22"/>
              </w:rPr>
            </w:r>
            <w:r>
              <w:rPr>
                <w:sz w:val="22"/>
              </w:rPr>
              <w:t>the numbers moved the right way, or the step is not done</w:t>
            </w:r>
          </w:p>
        </w:tc>
      </w:tr>
    </w:tbl>
    <w:p/>
    <w:p>
      <w:r>
        <w:rPr>
          <w:b/>
        </w:rPr>
        <w:t>One honest limit on step 3.</w:t>
      </w:r>
      <w:r>
        <w:t xml:space="preserve"> Content-hash drift is </w:t>
      </w:r>
      <w:r>
        <w:rPr>
          <w:i/>
        </w:rPr>
        <w:t>not</w:t>
      </w:r>
      <w:r>
        <w:t xml:space="preserve"> refused on dev, qa or prod: the build rewrites every hash from disk before the gate runs, and the deploy-side crosswalk is reachable only from the local deploy. What still holds everywhere is the presence check — a declared file that is missing — and that is the one that catches a missed declaration during a move, which is the mistake this plan is actually exposed to.</w:t>
      </w:r>
    </w:p>
    <w:p>
      <w:pPr>
        <w:pStyle w:val="Heading2"/>
      </w:pPr>
      <w:r>
        <w:t>5. What could stall this, and what I would do</w:t>
      </w:r>
    </w:p>
    <w:p>
      <w:pPr>
        <w:pStyle w:val="ListBullet"/>
      </w:pPr>
      <w:r>
        <w:rPr>
          <w:b/>
        </w:rPr>
        <w:t>A decision arrives that changes a destination.</w:t>
      </w:r>
      <w:r>
        <w:t xml:space="preserve"> The plan is a table of destinations; changing one is an edit, not a redesign.</w:t>
      </w:r>
    </w:p>
    <w:p>
      <w:pPr>
        <w:pStyle w:val="ListBullet"/>
      </w:pPr>
      <w:r>
        <w:rPr>
          <w:b/>
        </w:rPr>
        <w:t>A capability's routes will not separate cleanly</w:t>
      </w:r>
      <w:r>
        <w:t xml:space="preserve"> because two share state through a module-level object. Likely in the specialty and provider pair. I stop and bring you the coupling rather than inventing a shared home for it.</w:t>
      </w:r>
    </w:p>
    <w:p>
      <w:pPr>
        <w:pStyle w:val="ListBullet"/>
      </w:pPr>
      <w:r>
        <w:rPr>
          <w:b/>
        </w:rPr>
        <w:t>A gate cannot be written from behaviour</w:t>
      </w:r>
      <w:r>
        <w:t xml:space="preserve"> for one of the three. Then the architecture is not defined well enough to refactor toward, and that is worth knowing in a day rather than three weeks in.</w:t>
      </w:r>
    </w:p>
    <w:p>
      <w:pPr>
        <w:pStyle w:val="ListBullet"/>
      </w:pPr>
      <w:r>
        <w:rPr>
          <w:b/>
        </w:rPr>
        <w:t>The suites move.</w:t>
      </w:r>
      <w:r>
        <w:t xml:space="preserve"> Their known counts include failures already escalated to you. If a count changes, I report which test and why before continuing, because a suite whose baseline drifts silently is the same failure mode as everything else in these documents.</w:t>
      </w:r>
    </w:p>
    <w:p>
      <w:pPr>
        <w:pStyle w:val="Heading2"/>
      </w:pPr>
      <w:r>
        <w:t>6. What this plan does not do</w:t>
      </w:r>
    </w:p>
    <w:p>
      <w:pPr>
        <w:pStyle w:val="ListBullet"/>
      </w:pPr>
      <w:r>
        <w:rPr>
          <w:b/>
        </w:rPr>
        <w:t>It does not touch EvaluateCare.</w:t>
      </w:r>
      <w:r>
        <w:t xml:space="preserve"> The point is that EvaluateCare is built against a reference that is finished and measured, not against one changing underneath it.</w:t>
      </w:r>
    </w:p>
    <w:p>
      <w:pPr>
        <w:pStyle w:val="ListBullet"/>
      </w:pPr>
      <w:r>
        <w:rPr>
          <w:b/>
        </w:rPr>
        <w:t>It does not change what a person sees</w:t>
      </w:r>
      <w:r>
        <w:t>, until Phase 5 adds the facility taxonomy panel. Every phase before that is structural.</w:t>
      </w:r>
    </w:p>
    <w:p>
      <w:pPr>
        <w:pStyle w:val="ListBullet"/>
      </w:pPr>
      <w:r>
        <w:rPr>
          <w:b/>
        </w:rPr>
        <w:t>It does not fix the findings.</w:t>
      </w:r>
      <w:r>
        <w:t xml:space="preserve"> The forgeable presence proof, the agent's unconditioned Owner, the cross-frame code execution, the scoped-fire destruction — those are yours to schedule and none is in scope here.</w:t>
      </w:r>
    </w:p>
    <w:p>
      <w:pPr>
        <w:pStyle w:val="ListBullet"/>
      </w:pPr>
      <w:r>
        <w:rPr>
          <w:b/>
        </w:rPr>
        <w:t>It does not close the general case of BUG-008.</w:t>
      </w:r>
      <w:r>
        <w:t xml:space="preserve"> Gate 2 closes the tool-level reverse direction. That what is </w:t>
      </w:r>
      <w:r>
        <w:rPr>
          <w:i/>
        </w:rPr>
        <w:t>deployed</w:t>
      </w:r>
      <w:r>
        <w:t xml:space="preserve"> is not held to what the repository says remains open and is larger than this plan.</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B7280"/>
        <w:sz w:val="18"/>
      </w:rPr>
      <w:fldChar w:fldCharType="begin"/>
      <w:instrText xml:space="preserve"> PAGE </w:instrText>
      <w:fldChar w:fldCharType="end"/>
      <w:t xml:space="preserve"> of </w:t>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40"/>
    </w:pPr>
    <w:rPr>
      <w:rFonts w:ascii="Segoe UI" w:hAnsi="Segoe U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line="240" w:lineRule="auto"/>
      <w:outlineLvl w:val="0"/>
    </w:pPr>
    <w:rPr>
      <w:rFonts w:asciiTheme="majorHAnsi" w:eastAsiaTheme="majorEastAsia" w:hAnsiTheme="majorHAnsi" w:cstheme="majorBidi" w:ascii="Segoe UI" w:hAnsi="Segoe UI"/>
      <w:b/>
      <w:bCs/>
      <w:color w:val="0B7A75"/>
      <w:sz w:val="36"/>
      <w:szCs w:val="28"/>
    </w:rPr>
  </w:style>
  <w:style w:type="paragraph" w:styleId="Heading2">
    <w:name w:val="heading 2"/>
    <w:basedOn w:val="Normal"/>
    <w:next w:val="Normal"/>
    <w:link w:val="Heading2Char"/>
    <w:uiPriority w:val="9"/>
    <w:unhideWhenUsed/>
    <w:qFormat/>
    <w:rsid w:val="00FC693F"/>
    <w:pPr>
      <w:keepNext/>
      <w:keepLines/>
      <w:spacing w:before="240" w:after="60" w:line="240" w:lineRule="auto"/>
      <w:outlineLvl w:val="1"/>
    </w:pPr>
    <w:rPr>
      <w:rFonts w:asciiTheme="majorHAnsi" w:eastAsiaTheme="majorEastAsia" w:hAnsiTheme="majorHAnsi" w:cstheme="majorBidi" w:ascii="Segoe UI" w:hAnsi="Segoe UI"/>
      <w:b/>
      <w:bCs/>
      <w:color w:val="0B7A75"/>
      <w:sz w:val="32"/>
      <w:szCs w:val="26"/>
    </w:rPr>
  </w:style>
  <w:style w:type="paragraph" w:styleId="Heading3">
    <w:name w:val="heading 3"/>
    <w:basedOn w:val="Normal"/>
    <w:next w:val="Normal"/>
    <w:link w:val="Heading3Char"/>
    <w:uiPriority w:val="9"/>
    <w:unhideWhenUsed/>
    <w:qFormat/>
    <w:rsid w:val="00FC693F"/>
    <w:pPr>
      <w:keepNext/>
      <w:keepLines/>
      <w:spacing w:before="180" w:after="40" w:line="240" w:lineRule="auto"/>
      <w:outlineLvl w:val="2"/>
    </w:pPr>
    <w:rPr>
      <w:rFonts w:asciiTheme="majorHAnsi" w:eastAsiaTheme="majorEastAsia" w:hAnsiTheme="majorHAnsi" w:cstheme="majorBidi" w:ascii="Segoe UI" w:hAnsi="Segoe UI"/>
      <w:b/>
      <w:bCs/>
      <w:color w:val="0B7A75"/>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40" w:lineRule="auto" w:before="0" w:after="40"/>
      <w:contextualSpacing/>
    </w:pPr>
    <w:rPr>
      <w:rFonts w:ascii="Segoe UI" w:hAnsi="Segoe UI"/>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40" w:lineRule="auto" w:before="0" w:after="40"/>
      <w:contextualSpacing/>
    </w:pPr>
    <w:rPr>
      <w:rFonts w:ascii="Segoe UI" w:hAnsi="Segoe UI"/>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