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24A90" w14:textId="77777777" w:rsidR="00330C1B" w:rsidRDefault="00000000">
      <w:pPr>
        <w:pStyle w:val="Title"/>
      </w:pPr>
      <w:r>
        <w:t>FindCare — Canonical Design</w:t>
      </w:r>
    </w:p>
    <w:p w14:paraId="1F333D6C" w14:textId="77777777" w:rsidR="00330C1B" w:rsidRDefault="00000000">
      <w:r>
        <w:t>EPIC-006. Eight features, twenty-five stories, one hundred and seventeen requirements. Version 1.5, 2026-09-01.</w:t>
      </w:r>
    </w:p>
    <w:p w14:paraId="0BC81A2D" w14:textId="77777777" w:rsidR="00330C1B" w:rsidRDefault="00000000">
      <w:pPr>
        <w:pStyle w:val="Heading1"/>
      </w:pPr>
      <w:r>
        <w:t>Scope, method, and the rule of this document</w:t>
      </w:r>
    </w:p>
    <w:p w14:paraId="16A0DDD5" w14:textId="77777777" w:rsidR="00330C1B" w:rsidRDefault="00000000">
      <w:r>
        <w:t>This document contains only HOW. Every WHAT is stipulated by quoting its requirement verbatim, with its req_id, and the design then states how that requirement is met. Requirement text appears in quotation marks; everything outside quotation marks is design.</w:t>
      </w:r>
    </w:p>
    <w:p w14:paraId="346AF1AC" w14:textId="77777777" w:rsidR="00330C1B" w:rsidRDefault="00000000">
      <w:r>
        <w:t>The design uses the components that exist and the capabilities they actually have. Where the code as it stands contradicts the design the requirements demand, the divergence is stated at the point it arises and is immediately followed by the change that closes it: what changes, in which file, to what shape, and what it then does. Each closing change carries an index — C-01 through C-24 — and names the epic that owns the component it changes, because twelve of the twenty-four change a component this epic does not own. Where that is so, this design states what must be true of that component and does not pretend the component belongs to FindCare.</w:t>
      </w:r>
    </w:p>
    <w:p w14:paraId="05C61D4B" w14:textId="77777777" w:rsidR="00330C1B" w:rsidRDefault="00000000">
      <w:pPr>
        <w:pStyle w:val="Heading2"/>
      </w:pPr>
      <w:r>
        <w:t>Sources</w:t>
      </w:r>
    </w:p>
    <w:tbl>
      <w:tblPr>
        <w:tblStyle w:val="LightGrid-Accent1"/>
        <w:tblW w:w="0" w:type="auto"/>
        <w:tblLook w:val="04A0" w:firstRow="1" w:lastRow="0" w:firstColumn="1" w:lastColumn="0" w:noHBand="0" w:noVBand="1"/>
      </w:tblPr>
      <w:tblGrid>
        <w:gridCol w:w="4776"/>
        <w:gridCol w:w="4080"/>
      </w:tblGrid>
      <w:tr w:rsidR="00330C1B" w14:paraId="4412EAD4" w14:textId="77777777" w:rsidTr="00330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1C5E7681" w14:textId="77777777" w:rsidR="00330C1B" w:rsidRDefault="00000000">
            <w:r>
              <w:rPr>
                <w:sz w:val="18"/>
              </w:rPr>
              <w:t>Source</w:t>
            </w:r>
          </w:p>
        </w:tc>
        <w:tc>
          <w:tcPr>
            <w:tcW w:w="5616" w:type="dxa"/>
          </w:tcPr>
          <w:p w14:paraId="6EF4E570"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What it supplies</w:t>
            </w:r>
          </w:p>
        </w:tc>
      </w:tr>
      <w:tr w:rsidR="00330C1B" w14:paraId="6A541814"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24C7ABA5" w14:textId="77777777" w:rsidR="00330C1B" w:rsidRDefault="00000000">
            <w:r>
              <w:rPr>
                <w:sz w:val="17"/>
              </w:rPr>
              <w:t>brain/machine_artifacts/content/agile_backlog.json</w:t>
            </w:r>
          </w:p>
        </w:tc>
        <w:tc>
          <w:tcPr>
            <w:tcW w:w="5616" w:type="dxa"/>
          </w:tcPr>
          <w:p w14:paraId="1B10B09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EPIC-006: the business architecture and every WHAT.</w:t>
            </w:r>
          </w:p>
        </w:tc>
      </w:tr>
      <w:tr w:rsidR="00330C1B" w14:paraId="2DAC5648"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372C9514" w14:textId="77777777" w:rsidR="00330C1B" w:rsidRDefault="00000000">
            <w:r>
              <w:rPr>
                <w:sz w:val="17"/>
              </w:rPr>
              <w:t>brain/machine_artifacts/content/deployment_architecture.json</w:t>
            </w:r>
          </w:p>
        </w:tc>
        <w:tc>
          <w:tcPr>
            <w:tcW w:w="5616" w:type="dxa"/>
          </w:tcPr>
          <w:p w14:paraId="445FE3A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Targets, environments, packages, files, identities, roles, secrets.</w:t>
            </w:r>
          </w:p>
        </w:tc>
      </w:tr>
      <w:tr w:rsidR="00330C1B" w14:paraId="24B3F90B"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4776C3E0" w14:textId="77777777" w:rsidR="00330C1B" w:rsidRDefault="00000000">
            <w:r>
              <w:rPr>
                <w:sz w:val="17"/>
              </w:rPr>
              <w:t>brain/machine_artifacts/content/engineering_rules.json</w:t>
            </w:r>
          </w:p>
        </w:tc>
        <w:tc>
          <w:tcPr>
            <w:tcW w:w="5616" w:type="dxa"/>
          </w:tcPr>
          <w:p w14:paraId="3245394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rules the design obeys.</w:t>
            </w:r>
          </w:p>
        </w:tc>
      </w:tr>
      <w:tr w:rsidR="00330C1B" w14:paraId="7E1F61B0"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2765EC12" w14:textId="77777777" w:rsidR="00330C1B" w:rsidRDefault="00000000">
            <w:r>
              <w:rPr>
                <w:sz w:val="17"/>
              </w:rPr>
              <w:t>architecture/DevOpsBuildDeployAndEnvironmentManagement/</w:t>
            </w:r>
          </w:p>
        </w:tc>
        <w:tc>
          <w:tcPr>
            <w:tcW w:w="5616" w:type="dxa"/>
          </w:tcPr>
          <w:p w14:paraId="0C1E368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build_chathealthy.py, deploy_chathealthy.py, promote_chathealthy.py and their helpers.</w:t>
            </w:r>
          </w:p>
        </w:tc>
      </w:tr>
      <w:tr w:rsidR="00330C1B" w14:paraId="5F4712F0"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14F38C0F" w14:textId="77777777" w:rsidR="00330C1B" w:rsidRDefault="00000000">
            <w:r>
              <w:rPr>
                <w:sz w:val="17"/>
              </w:rPr>
              <w:t>The FindCare code, wherever it lives</w:t>
            </w:r>
          </w:p>
        </w:tc>
        <w:tc>
          <w:tcPr>
            <w:tcW w:w="5616" w:type="dxa"/>
          </w:tcPr>
          <w:p w14:paraId="5E50DD4F"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FindCare/, sharedServices/, ChatHealthyLib/, Code/ConversationalUX/FindCareChat/, Website/.</w:t>
            </w:r>
          </w:p>
        </w:tc>
      </w:tr>
    </w:tbl>
    <w:p w14:paraId="44AE68F7" w14:textId="77777777" w:rsidR="00330C1B" w:rsidRDefault="00000000">
      <w:pPr>
        <w:pStyle w:val="Heading2"/>
      </w:pPr>
      <w:r>
        <w:t>The three views</w:t>
      </w:r>
    </w:p>
    <w:p w14:paraId="71FD9528" w14:textId="77777777" w:rsidR="00330C1B" w:rsidRDefault="00000000">
      <w:r>
        <w:t>Chapter 3 is the business architecture, taken from the backlog: the eight features, their stories, and how the capabilities compose. Chapter 4 is the technical architecture, taken from deployment_architecture.json coupled to the build and deploy chain. Chapter 5 is the security architecture, including the network. Chapter 6 maps all 117 requirements.</w:t>
      </w:r>
    </w:p>
    <w:p w14:paraId="28502009" w14:textId="77777777" w:rsidR="00330C1B" w:rsidRDefault="00000000">
      <w:pPr>
        <w:pStyle w:val="Heading2"/>
      </w:pPr>
      <w:r>
        <w:t>One architectural position that governs chapter 3</w:t>
      </w:r>
    </w:p>
    <w:p w14:paraId="24E9C087" w14:textId="77777777" w:rsidR="00330C1B" w:rsidRDefault="00000000">
      <w:r>
        <w:t>Provider search is deterministic. It filters registry facts — taxonomy codes, geography, name, entity type, active state — on indexed fields of the provider record. It does not embed a provider, does not vector-search providers, and does not infer which provider matches. The provider collection carries no vector index.</w:t>
      </w:r>
    </w:p>
    <w:p w14:paraId="368BCAEB" w14:textId="77777777" w:rsidR="00330C1B" w:rsidRDefault="00000000">
      <w:r>
        <w:t>Meaning is resolved once, in one place: the specialty filter turns a person's own words into NUCC taxonomy codes. Everything downstream of that step is a parameterised query, and the query returns what the registry says. A person can verify a deterministic filter on registry data against the registry itself; they cannot verify a semantic guess. That is the product.</w:t>
      </w:r>
    </w:p>
    <w:p w14:paraId="2BF464FA" w14:textId="77777777" w:rsidR="00330C1B" w:rsidRDefault="00000000">
      <w:pPr>
        <w:ind w:left="432"/>
      </w:pPr>
      <w:r>
        <w:rPr>
          <w:b/>
          <w:color w:val="990000"/>
        </w:rPr>
        <w:t xml:space="preserve">Code contradicts this design: </w:t>
      </w:r>
      <w:r>
        <w:rPr>
          <w:color w:val="990000"/>
        </w:rPr>
        <w:t>FindCare/ProviderManagement/provider_search_service.py carries a _vector_search method naming an Atlas index provider_vector_index. Nothing calls it. It is scaffolding that states the opposite of the design and belongs deleted.</w:t>
      </w:r>
    </w:p>
    <w:p w14:paraId="59D288DC" w14:textId="610D63C1" w:rsidR="00330C1B" w:rsidRDefault="00000000">
      <w:pPr>
        <w:ind w:left="432"/>
      </w:pPr>
      <w:r>
        <w:rPr>
          <w:b/>
          <w:color w:val="005500"/>
        </w:rPr>
        <w:t>Designed change C-01</w:t>
      </w:r>
      <w:r>
        <w:rPr>
          <w:color w:val="005500"/>
          <w:sz w:val="18"/>
        </w:rPr>
        <w:t xml:space="preserve">  (owner: EPIC-006)  </w:t>
      </w:r>
      <w:r>
        <w:rPr>
          <w:color w:val="005500"/>
        </w:rPr>
        <w:t>Delete _vector_search from FindCare/ProviderManagement/provider_search_service.py, together with the get_embedding_fn constructor argument that exists only to feed it and the provider_vector_index name it carries. The service then takes get_db_fn, env_prefix and specialty_service, and holds no path that could embed a provider.</w:t>
      </w:r>
      <w:r w:rsidR="00AB1AF3">
        <w:rPr>
          <w:color w:val="005500"/>
        </w:rPr>
        <w:t xml:space="preserve"> </w:t>
      </w:r>
    </w:p>
    <w:p w14:paraId="7CD9490B" w14:textId="77777777" w:rsidR="00330C1B" w:rsidRDefault="00000000">
      <w:r>
        <w:br w:type="page"/>
      </w:r>
    </w:p>
    <w:p>
      <w:pPr>
        <w:pStyle w:val="Heading1"/>
      </w:pPr>
      <w:r>
        <w:t>1. The three pages</w:t>
      </w:r>
    </w:p>
    <w:p>
      <w:pPr/>
      <w:r>
        <w:t>FindCare answers three questions, and a page answers each one. A page is not a screen: the application is one screen of eleven windows, and a page is which of them are in force, what they are showing, and whose parameters are being read. Everything in chapter 2 is stated once and holds for all three.</w:t>
      </w:r>
    </w:p>
    <w:p>
      <w:pPr>
        <w:pStyle w:val="Heading2"/>
      </w:pPr>
      <w:r>
        <w:t>1.1 Find an individual</w:t>
      </w:r>
    </w:p>
    <w:p>
      <w:pPr/>
      <w:r>
        <w:t>A person looking for a care giver — a named practitioner, or whoever treats what is wrong with them. The result is a list of people, each with a licence, a specialty and one or more practice addresses, and each openable in full. The page is individualProvider and it carries four tools: the search, the specialty filter that decides what is being searched for, the detail, and the selection a person hands on to EvaluateCare.</w:t>
      </w:r>
    </w:p>
    <w:p>
      <w:pPr>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findcare_page_individual_provider.png"/>
                    <pic:cNvPicPr/>
                  </pic:nvPicPr>
                  <pic:blipFill>
                    <a:blip r:embed="rId8"/>
                    <a:stretch>
                      <a:fillRect/>
                    </a:stretch>
                  </pic:blipFill>
                  <pic:spPr>
                    <a:xfrm>
                      <a:off x="0" y="0"/>
                      <a:ext cx="5669280" cy="3543300"/>
                    </a:xfrm>
                    <a:prstGeom prst="rect"/>
                  </pic:spPr>
                </pic:pic>
              </a:graphicData>
            </a:graphic>
          </wp:inline>
        </w:drawing>
      </w:r>
    </w:p>
    <w:p>
      <w:pPr>
        <w:jc w:val="center"/>
      </w:pPr>
      <w:r>
        <w:rPr>
          <w:i/>
          <w:color w:val="6B7280"/>
          <w:sz w:val="18"/>
        </w:rPr>
        <w:t>The individual-provider page. The specialty panel on the left states what is being searched for; the list is in the centre.</w:t>
      </w:r>
    </w:p>
    <w:p>
      <w:pPr>
        <w:pStyle w:val="Heading2"/>
      </w:pPr>
      <w:r>
        <w:t>1.2 Find a facility</w:t>
      </w:r>
    </w:p>
    <w:p>
      <w:pPr/>
      <w:r>
        <w:t>A person looking for a place rather than a person — a hospital, an urgent care clinic, a dialysis centre. In the registry a facility is an organization: the same record shape as a care giver, told apart by its entity type. The page is facility, and the architecture is the architecture of finding an individual, which is why this design cites the care-giver requirement wherever the two agree rather than restating it.</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findcare_page_facility.png"/>
                    <pic:cNvPicPr/>
                  </pic:nvPicPr>
                  <pic:blipFill>
                    <a:blip r:embed="rId9"/>
                    <a:stretch>
                      <a:fillRect/>
                    </a:stretch>
                  </pic:blipFill>
                  <pic:spPr>
                    <a:xfrm>
                      <a:off x="0" y="0"/>
                      <a:ext cx="5669280" cy="3543300"/>
                    </a:xfrm>
                    <a:prstGeom prst="rect"/>
                  </pic:spPr>
                </pic:pic>
              </a:graphicData>
            </a:graphic>
          </wp:inline>
        </w:drawing>
      </w:r>
    </w:p>
    <w:p>
      <w:pPr>
        <w:jc w:val="center"/>
      </w:pPr>
      <w:r>
        <w:rPr>
          <w:i/>
          <w:color w:val="6B7280"/>
          <w:sz w:val="18"/>
        </w:rPr>
        <w:t>The facility page. The left panel is empty because the page does not yet declare a taxonomy chooser — see §2.6.</w:t>
      </w:r>
    </w:p>
    <w:p>
      <w:pPr>
        <w:pStyle w:val="Heading2"/>
      </w:pPr>
      <w:r>
        <w:t>1.3 Find a clinical trial</w:t>
      </w:r>
    </w:p>
    <w:p>
      <w:pPr/>
      <w:r>
        <w:t>A person looking for a trial they might enter. The registry is not ChatHealthy's — it is clinicaltrials.gov — so this page states what it asks for and what must come back, and states nothing about how the registry produces an answer. The page is clinicalTrial and it carries one tool.</w:t>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findcare_page_clinical_trial.png"/>
                    <pic:cNvPicPr/>
                  </pic:nvPicPr>
                  <pic:blipFill>
                    <a:blip r:embed="rId10"/>
                    <a:stretch>
                      <a:fillRect/>
                    </a:stretch>
                  </pic:blipFill>
                  <pic:spPr>
                    <a:xfrm>
                      <a:off x="0" y="0"/>
                      <a:ext cx="5669280" cy="3543300"/>
                    </a:xfrm>
                    <a:prstGeom prst="rect"/>
                  </pic:spPr>
                </pic:pic>
              </a:graphicData>
            </a:graphic>
          </wp:inline>
        </w:drawing>
      </w:r>
    </w:p>
    <w:p>
      <w:pPr>
        <w:jc w:val="center"/>
      </w:pPr>
      <w:r>
        <w:rPr>
          <w:i/>
          <w:color w:val="6B7280"/>
          <w:sz w:val="18"/>
        </w:rPr>
        <w:t>The clinical-trial page. List on the left, one trial in the centre, its sections on the right.</w:t>
      </w:r>
    </w:p>
    <w:p>
      <w:pPr/>
      <w:r>
        <w:t>A fourth name appears in the declaration and in the router — NUCC — and it is not a fourth destination. It is the taxonomy chooser both search pages call, and it is a page only in the sense that matters to parameters: it is a scope a value lives in. §2.6 states what it is and why it is two capabilities rather than one.</w:t>
      </w:r>
    </w:p>
    <w:p>
      <w:pPr>
        <w:pStyle w:val="Heading1"/>
      </w:pPr>
      <w:r>
        <w:t>2. How a request is served</w:t>
      </w:r>
    </w:p>
    <w:p>
      <w:pPr/>
      <w:r>
        <w:t>This chapter is the infrastructure all three pages run on. It is stated once here because nothing in it is a FindCare decision: the entrance, the router, the session and the parameter model belong to EPIC-002-F-004 and EPIC-002-F-010, and FindCare depends on them. What is FindCare's — what a search returns, what a row carries, what a detail shows — is chapter 3.</w:t>
      </w:r>
    </w:p>
    <w:p>
      <w:pPr>
        <w:pStyle w:val="Heading2"/>
      </w:pPr>
      <w:r>
        <w:t>2.1 One entrance, and no second one</w:t>
      </w:r>
    </w:p>
    <w:p>
      <w:pPr/>
      <w:r>
        <w:t xml:space="preserve">Every call the browser makes goes to one place: </w:t>
      </w:r>
      <w:r>
        <w:rPr>
          <w:rFonts w:ascii="Consolas" w:hAnsi="Consolas"/>
          <w:sz w:val="18"/>
        </w:rPr>
        <w:t>POST /gate</w:t>
      </w:r>
      <w:r>
        <w:t xml:space="preserve"> on SharedServices. Not one per page, not one per tool, not a REST surface per resource — one endpoint, and the gesture is named in the body. EPIC-002-F-004-S-001-REQ-B-001 states it and EPIC-006-F-001-S-003 is FindCare's dependency on it.</w:t>
      </w:r>
    </w:p>
    <w:p>
      <w:pPr/>
      <w:r>
        <w:t>Two things follow, and they are the reason for the rule rather than consequences of it. Everything that must happen on every call — the signature check, the session, the audit entry, the safety lockout — happens in one place and cannot be forgotten by a route that did not know about it. And FindCare can refuse a request that did not come through the gateway, because there is one signature it can look for.</w:t>
      </w:r>
    </w:p>
    <w:p>
      <w:pPr/>
      <w:r>
        <w:t xml:space="preserve">A call names its gesture in </w:t>
      </w:r>
      <w:r>
        <w:rPr>
          <w:rFonts w:ascii="Consolas" w:hAnsi="Consolas"/>
          <w:sz w:val="18"/>
        </w:rPr>
        <w:t>op</w:t>
      </w:r>
      <w:r>
        <w:t xml:space="preserve">. There is no default. This once defaulted to </w:t>
      </w:r>
      <w:r>
        <w:rPr>
          <w:rFonts w:ascii="Consolas" w:hAnsi="Consolas"/>
          <w:sz w:val="18"/>
        </w:rPr>
        <w:t>boot</w:t>
      </w:r>
      <w:r>
        <w:t xml:space="preserve">, an op that no longer exists, so a body with no op was served as a session establishment; a body with no op is now a caller error, and session establishment is </w:t>
      </w:r>
      <w:r>
        <w:rPr>
          <w:rFonts w:ascii="Consolas" w:hAnsi="Consolas"/>
          <w:sz w:val="18"/>
        </w:rPr>
        <w:t>/auth/issue</w:t>
      </w:r>
      <w:r>
        <w:t xml:space="preserve"> and nothing else.</w:t>
      </w:r>
    </w:p>
    <w:p>
      <w:pPr>
        <w:pStyle w:val="Heading2"/>
      </w:pPr>
      <w:r>
        <w:t>2.2 What the gate collects</w:t>
      </w:r>
    </w:p>
    <w:p>
      <w:pPr/>
      <w:r>
        <w:t>Four things come off the request, and each is taken once and stated once so that nothing deeper in the call tree has to be handed it.</w:t>
      </w:r>
    </w:p>
    <w:tbl>
      <w:tblPr>
        <w:tblStyle w:val="TableGrid"/>
        <w:tblW w:type="auto" w:w="0"/>
        <w:tblLook w:firstColumn="1" w:firstRow="1" w:lastColumn="0" w:lastRow="0" w:noHBand="0" w:noVBand="1" w:val="04A0"/>
      </w:tblPr>
      <w:tblGrid>
        <w:gridCol w:w="2880"/>
        <w:gridCol w:w="2880"/>
        <w:gridCol w:w="2880"/>
      </w:tblGrid>
      <w:tr>
        <w:tc>
          <w:tcPr>
            <w:tcW w:type="dxa" w:w="1728"/>
          </w:tcPr>
          <w:p>
            <w:r/>
            <w:r>
              <w:rPr>
                <w:b/>
                <w:sz w:val="18"/>
              </w:rPr>
              <w:t>What</w:t>
            </w:r>
          </w:p>
        </w:tc>
        <w:tc>
          <w:tcPr>
            <w:tcW w:type="dxa" w:w="2736"/>
          </w:tcPr>
          <w:p>
            <w:r/>
            <w:r>
              <w:rPr>
                <w:b/>
                <w:sz w:val="18"/>
              </w:rPr>
              <w:t>Where it comes from</w:t>
            </w:r>
          </w:p>
        </w:tc>
        <w:tc>
          <w:tcPr>
            <w:tcW w:type="dxa" w:w="4464"/>
          </w:tcPr>
          <w:p>
            <w:r/>
            <w:r>
              <w:rPr>
                <w:b/>
                <w:sz w:val="18"/>
              </w:rPr>
              <w:t>Why it is taken here</w:t>
            </w:r>
          </w:p>
        </w:tc>
      </w:tr>
      <w:tr>
        <w:tc>
          <w:tcPr>
            <w:tcW w:type="dxa" w:w="1728"/>
          </w:tcPr>
          <w:p>
            <w:r/>
            <w:r>
              <w:rPr>
                <w:sz w:val="18"/>
              </w:rPr>
              <w:t>The gesture</w:t>
            </w:r>
          </w:p>
        </w:tc>
        <w:tc>
          <w:tcPr>
            <w:tcW w:type="dxa" w:w="2736"/>
          </w:tcPr>
          <w:p>
            <w:r/>
            <w:r>
              <w:rPr>
                <w:sz w:val="18"/>
              </w:rPr>
              <w:t>op in the body</w:t>
            </w:r>
          </w:p>
        </w:tc>
        <w:tc>
          <w:tcPr>
            <w:tcW w:type="dxa" w:w="4464"/>
          </w:tcPr>
          <w:p>
            <w:r/>
            <w:r>
              <w:rPr>
                <w:sz w:val="18"/>
              </w:rPr>
              <w:t>Decides which handler runs. Unknown ops are answered as unknown, not guessed at.</w:t>
            </w:r>
          </w:p>
        </w:tc>
      </w:tr>
      <w:tr>
        <w:tc>
          <w:tcPr>
            <w:tcW w:type="dxa" w:w="1728"/>
          </w:tcPr>
          <w:p>
            <w:r/>
            <w:r>
              <w:rPr>
                <w:sz w:val="18"/>
              </w:rPr>
              <w:t>The payload</w:t>
            </w:r>
          </w:p>
        </w:tc>
        <w:tc>
          <w:tcPr>
            <w:tcW w:type="dxa" w:w="2736"/>
          </w:tcPr>
          <w:p>
            <w:r/>
            <w:r>
              <w:rPr>
                <w:sz w:val="18"/>
              </w:rPr>
              <w:t>payload in the body</w:t>
            </w:r>
          </w:p>
        </w:tc>
        <w:tc>
          <w:tcPr>
            <w:tcW w:type="dxa" w:w="4464"/>
          </w:tcPr>
          <w:p>
            <w:r/>
            <w:r>
              <w:rPr>
                <w:sz w:val="18"/>
              </w:rPr>
              <w:t>Whatever that gesture carries. The gate does not read it.</w:t>
            </w:r>
          </w:p>
        </w:tc>
      </w:tr>
      <w:tr>
        <w:tc>
          <w:tcPr>
            <w:tcW w:type="dxa" w:w="1728"/>
          </w:tcPr>
          <w:p>
            <w:r/>
            <w:r>
              <w:rPr>
                <w:sz w:val="18"/>
              </w:rPr>
              <w:t>The session token</w:t>
            </w:r>
          </w:p>
        </w:tc>
        <w:tc>
          <w:tcPr>
            <w:tcW w:type="dxa" w:w="2736"/>
          </w:tcPr>
          <w:p>
            <w:r/>
            <w:r>
              <w:rPr>
                <w:sz w:val="18"/>
              </w:rPr>
              <w:t>session_token in the body</w:t>
            </w:r>
          </w:p>
        </w:tc>
        <w:tc>
          <w:tcPr>
            <w:tcW w:type="dxa" w:w="4464"/>
          </w:tcPr>
          <w:p>
            <w:r/>
            <w:r>
              <w:rPr>
                <w:sz w:val="18"/>
              </w:rPr>
              <w:t>Threaded by ClientRouter from its in-memory copy. Cookies are not used: the Hugging Face edge proxy strips the credentials header from OPTIONS preflights, so a cookie-borne session could not survive the hop.</w:t>
            </w:r>
          </w:p>
        </w:tc>
      </w:tr>
      <w:tr>
        <w:tc>
          <w:tcPr>
            <w:tcW w:type="dxa" w:w="1728"/>
          </w:tcPr>
          <w:p>
            <w:r/>
            <w:r>
              <w:rPr>
                <w:sz w:val="18"/>
              </w:rPr>
              <w:t>The client address</w:t>
            </w:r>
          </w:p>
        </w:tc>
        <w:tc>
          <w:tcPr>
            <w:tcW w:type="dxa" w:w="2736"/>
          </w:tcPr>
          <w:p>
            <w:r/>
            <w:r>
              <w:rPr>
                <w:sz w:val="18"/>
              </w:rPr>
              <w:t>X-Forwarded-For, else the socket peer</w:t>
            </w:r>
          </w:p>
        </w:tc>
        <w:tc>
          <w:tcPr>
            <w:tcW w:type="dxa" w:w="4464"/>
          </w:tcPr>
          <w:p>
            <w:r/>
            <w:r>
              <w:rPr>
                <w:sz w:val="18"/>
              </w:rPr>
              <w:t>The proxies put the real client in the header. Needed before any tool runs, because the safety lockout is keyed on it.</w:t>
            </w:r>
          </w:p>
        </w:tc>
      </w:tr>
    </w:tbl>
    <w:p/>
    <w:p>
      <w:pPr/>
      <w:r>
        <w:t xml:space="preserve">These are then stated once, through </w:t>
      </w:r>
      <w:r>
        <w:rPr>
          <w:rFonts w:ascii="Consolas" w:hAnsi="Consolas"/>
          <w:sz w:val="18"/>
        </w:rPr>
        <w:t>request_facts.state_the_facts(token, posted, headers)</w:t>
      </w:r>
      <w:r>
        <w:t>. Everything below reads them from there rather than receiving them as arguments, so a component several calls deep needs no parameter to know whose request it is serving.</w:t>
      </w:r>
    </w:p>
    <w:p>
      <w:pPr>
        <w:pStyle w:val="Heading2"/>
      </w:pPr>
      <w:r>
        <w:t>2.3 The session, and what authorises the call</w:t>
      </w:r>
    </w:p>
    <w:p>
      <w:pPr/>
      <w:r>
        <w:t>A session is a signed token, not a cookie and not a server-side session object keyed by an opaque id. It is minted once at /auth/issue and carried on the body of every call afterwards.</w:t>
      </w:r>
    </w:p>
    <w:tbl>
      <w:tblPr>
        <w:tblStyle w:val="TableGrid"/>
        <w:tblW w:type="auto" w:w="0"/>
        <w:tblLook w:firstColumn="1" w:firstRow="1" w:lastColumn="0" w:lastRow="0" w:noHBand="0" w:noVBand="1" w:val="04A0"/>
      </w:tblPr>
      <w:tblGrid>
        <w:gridCol w:w="4320"/>
        <w:gridCol w:w="4320"/>
      </w:tblGrid>
      <w:tr>
        <w:tc>
          <w:tcPr>
            <w:tcW w:type="dxa" w:w="1872"/>
          </w:tcPr>
          <w:p>
            <w:r/>
            <w:r>
              <w:rPr>
                <w:b/>
                <w:sz w:val="18"/>
              </w:rPr>
              <w:t>Field</w:t>
            </w:r>
          </w:p>
        </w:tc>
        <w:tc>
          <w:tcPr>
            <w:tcW w:type="dxa" w:w="7056"/>
          </w:tcPr>
          <w:p>
            <w:r/>
            <w:r>
              <w:rPr>
                <w:b/>
                <w:sz w:val="18"/>
              </w:rPr>
              <w:t>What it is</w:t>
            </w:r>
          </w:p>
        </w:tc>
      </w:tr>
      <w:tr>
        <w:tc>
          <w:tcPr>
            <w:tcW w:type="dxa" w:w="1872"/>
          </w:tcPr>
          <w:p>
            <w:r/>
            <w:r>
              <w:rPr>
                <w:sz w:val="18"/>
              </w:rPr>
              <w:t>origin</w:t>
            </w:r>
          </w:p>
        </w:tc>
        <w:tc>
          <w:tcPr>
            <w:tcW w:type="dxa" w:w="7056"/>
          </w:tcPr>
          <w:p>
            <w:r/>
            <w:r>
              <w:rPr>
                <w:sz w:val="18"/>
              </w:rPr>
              <w:t>Which service signed it — SharedServices, FindCare or EvaluateCare. Chooses the certificate the verifier uses.</w:t>
            </w:r>
          </w:p>
        </w:tc>
      </w:tr>
      <w:tr>
        <w:tc>
          <w:tcPr>
            <w:tcW w:type="dxa" w:w="1872"/>
          </w:tcPr>
          <w:p>
            <w:r/>
            <w:r>
              <w:rPr>
                <w:sz w:val="18"/>
              </w:rPr>
              <w:t>token</w:t>
            </w:r>
          </w:p>
        </w:tc>
        <w:tc>
          <w:tcPr>
            <w:tcW w:type="dxa" w:w="7056"/>
          </w:tcPr>
          <w:p>
            <w:r/>
            <w:r>
              <w:rPr>
                <w:sz w:val="18"/>
              </w:rPr>
              <w:t>CH + nonce + created + guid, concatenated.</w:t>
            </w:r>
          </w:p>
        </w:tc>
      </w:tr>
      <w:tr>
        <w:tc>
          <w:tcPr>
            <w:tcW w:type="dxa" w:w="1872"/>
          </w:tcPr>
          <w:p>
            <w:r/>
            <w:r>
              <w:rPr>
                <w:sz w:val="18"/>
              </w:rPr>
              <w:t>guid</w:t>
            </w:r>
          </w:p>
        </w:tc>
        <w:tc>
          <w:tcPr>
            <w:tcW w:type="dxa" w:w="7056"/>
          </w:tcPr>
          <w:p>
            <w:r/>
            <w:r>
              <w:rPr>
                <w:sz w:val="18"/>
              </w:rPr>
              <w:t>The 32-character session identifier. Stable for the whole page session and preserved across every hop.</w:t>
            </w:r>
          </w:p>
        </w:tc>
      </w:tr>
      <w:tr>
        <w:tc>
          <w:tcPr>
            <w:tcW w:type="dxa" w:w="1872"/>
          </w:tcPr>
          <w:p>
            <w:r/>
            <w:r>
              <w:rPr>
                <w:sz w:val="18"/>
              </w:rPr>
              <w:t>nonce</w:t>
            </w:r>
          </w:p>
        </w:tc>
        <w:tc>
          <w:tcPr>
            <w:tcW w:type="dxa" w:w="7056"/>
          </w:tcPr>
          <w:p>
            <w:r/>
            <w:r>
              <w:rPr>
                <w:sz w:val="18"/>
              </w:rPr>
              <w:t>A 17-character timestamp, stamped fresh by every server on receive. The replay defence — NIST 800-53 SC-23.</w:t>
            </w:r>
          </w:p>
        </w:tc>
      </w:tr>
      <w:tr>
        <w:tc>
          <w:tcPr>
            <w:tcW w:type="dxa" w:w="1872"/>
          </w:tcPr>
          <w:p>
            <w:r/>
            <w:r>
              <w:rPr>
                <w:sz w:val="18"/>
              </w:rPr>
              <w:t>signature</w:t>
            </w:r>
          </w:p>
        </w:tc>
        <w:tc>
          <w:tcPr>
            <w:tcW w:type="dxa" w:w="7056"/>
          </w:tcPr>
          <w:p>
            <w:r/>
            <w:r>
              <w:rPr>
                <w:sz w:val="18"/>
              </w:rPr>
              <w:t>RSA PKCS1v15 over SHA-256, by the current stamping origin's private key.</w:t>
            </w:r>
          </w:p>
        </w:tc>
      </w:tr>
      <w:tr>
        <w:tc>
          <w:tcPr>
            <w:tcW w:type="dxa" w:w="1872"/>
          </w:tcPr>
          <w:p>
            <w:r/>
            <w:r>
              <w:rPr>
                <w:sz w:val="18"/>
              </w:rPr>
              <w:t>created_at, server_env</w:t>
            </w:r>
          </w:p>
        </w:tc>
        <w:tc>
          <w:tcPr>
            <w:tcW w:type="dxa" w:w="7056"/>
          </w:tcPr>
          <w:p>
            <w:r/>
            <w:r>
              <w:rPr>
                <w:sz w:val="18"/>
              </w:rPr>
              <w:t>When, and in which environment.</w:t>
            </w:r>
          </w:p>
        </w:tc>
      </w:tr>
    </w:tbl>
    <w:p/>
    <w:p>
      <w:pPr/>
      <w:r>
        <w:t>The guid and the nonce are different in kind and the distinction is the whole mechanism: the guid says which session this is and never changes, the nonce says which hop this is and changes every time. One gives continuity; the other makes a captured token useless a moment later.</w:t>
      </w:r>
    </w:p>
    <w:p>
      <w:pPr/>
      <w:r>
        <w:t xml:space="preserve">Verification happens at </w:t>
      </w:r>
      <w:r>
        <w:rPr>
          <w:rFonts w:ascii="Consolas" w:hAnsi="Consolas"/>
          <w:sz w:val="18"/>
        </w:rPr>
        <w:t>/gate</w:t>
      </w:r>
      <w:r>
        <w:t xml:space="preserve"> and nowhere else. Every op verifies; there is no op exempt, and a call with no valid token is answered 401 whatever it names. Downstream services trust that verification and do not repeat it — a second validation that could give a different answer is worse than none.</w:t>
      </w:r>
    </w:p>
    <w:p>
      <w:pPr/>
      <w:r>
        <w:t xml:space="preserve">FindCare's half is different and has to be. A Hugging Face Space is a public HTTPS host and cannot demand a client certificate, so FindCare cannot require mutual TLS. What it can do is refuse a request that does not carry a SharedServices signature: </w:t>
      </w:r>
      <w:r>
        <w:rPr>
          <w:rFonts w:ascii="Consolas" w:hAnsi="Consolas"/>
          <w:sz w:val="18"/>
        </w:rPr>
        <w:t>require_gateway_signature</w:t>
      </w:r>
      <w:r>
        <w:t xml:space="preserve"> verifies the token against SHARED_CERT_PEM, which FindCare receives at deploy time. That is the second half of EPIC-006-F-001-S-003-REQ-B-004 — the first half being that the client has no other address to call.</w:t>
      </w:r>
    </w:p>
    <w:p>
      <w:pPr>
        <w:pStyle w:val="Heading2"/>
      </w:pPr>
      <w:r>
        <w:t>2.4 The router, and the one branch that matters</w:t>
      </w:r>
    </w:p>
    <w:p>
      <w:pPr/>
      <w:r>
        <w:t>Past the gate, everything is UniversalNavigationTool. It holds a map from op to handler; adding a gesture is a method and a line in the map. The handlers do the work, and the important thing about them is what divides them.</w:t>
      </w:r>
    </w:p>
    <w:p>
      <w:pPr>
        <w:jc w:val="center"/>
      </w:pPr>
      <w:r>
        <w:drawing>
          <wp:inline xmlns:a="http://schemas.openxmlformats.org/drawingml/2006/main" xmlns:pic="http://schemas.openxmlformats.org/drawingml/2006/picture">
            <wp:extent cx="4206240" cy="5439580"/>
            <wp:docPr id="4" name="Picture 4"/>
            <wp:cNvGraphicFramePr>
              <a:graphicFrameLocks noChangeAspect="1"/>
            </wp:cNvGraphicFramePr>
            <a:graphic>
              <a:graphicData uri="http://schemas.openxmlformats.org/drawingml/2006/picture">
                <pic:pic>
                  <pic:nvPicPr>
                    <pic:cNvPr id="0" name="findcare_gate_components.png"/>
                    <pic:cNvPicPr/>
                  </pic:nvPicPr>
                  <pic:blipFill>
                    <a:blip r:embed="rId11"/>
                    <a:stretch>
                      <a:fillRect/>
                    </a:stretch>
                  </pic:blipFill>
                  <pic:spPr>
                    <a:xfrm>
                      <a:off x="0" y="0"/>
                      <a:ext cx="4206240" cy="5439580"/>
                    </a:xfrm>
                    <a:prstGeom prst="rect"/>
                  </pic:spPr>
                </pic:pic>
              </a:graphicData>
            </a:graphic>
          </wp:inline>
        </w:drawing>
      </w:r>
    </w:p>
    <w:p>
      <w:pPr>
        <w:jc w:val="center"/>
      </w:pPr>
      <w:r>
        <w:rPr>
          <w:i/>
          <w:color w:val="6B7280"/>
          <w:sz w:val="18"/>
        </w:rPr>
        <w:t>What serves a request, and what each part owns.</w:t>
      </w:r>
    </w:p>
    <w:p>
      <w:pPr/>
      <w:r>
        <w:t xml:space="preserve">One op is </w:t>
      </w:r>
      <w:r>
        <w:rPr>
          <w:rFonts w:ascii="Consolas" w:hAnsi="Consolas"/>
          <w:sz w:val="18"/>
        </w:rPr>
        <w:t>utterance</w:t>
      </w:r>
      <w:r>
        <w:t xml:space="preserve">. It means the person used words, and words have to be interpreted before anything can be done about them — so the router hands the last thing said, and the talk before it, to the UtteranceManager. UM classifies it into an IntentDocument carrying a </w:t>
      </w:r>
      <w:r>
        <w:rPr>
          <w:rFonts w:ascii="Consolas" w:hAnsi="Consolas"/>
          <w:sz w:val="18"/>
        </w:rPr>
        <w:t>target_action</w:t>
      </w:r>
      <w:r>
        <w:t>, and may author prose to show the person. It names an action; it does not perform one.</w:t>
      </w:r>
    </w:p>
    <w:p>
      <w:pPr/>
      <w:r>
        <w:t>Every other op is a control the person worked — a page turn, a filter applied, a detail opened, a facility selected. A control already says what was meant, so nothing has to work out what was meant, and no model runs. This is why a pagination click is fast and a typed question is not, and it is a property of the architecture rather than an optimisation applied to it.</w:t>
      </w:r>
    </w:p>
    <w:p>
      <w:pPr>
        <w:jc w:val="center"/>
      </w:pPr>
      <w:r>
        <w:drawing>
          <wp:inline xmlns:a="http://schemas.openxmlformats.org/drawingml/2006/main" xmlns:pic="http://schemas.openxmlformats.org/drawingml/2006/picture">
            <wp:extent cx="5852160" cy="4318099"/>
            <wp:docPr id="5" name="Picture 5"/>
            <wp:cNvGraphicFramePr>
              <a:graphicFrameLocks noChangeAspect="1"/>
            </wp:cNvGraphicFramePr>
            <a:graphic>
              <a:graphicData uri="http://schemas.openxmlformats.org/drawingml/2006/picture">
                <pic:pic>
                  <pic:nvPicPr>
                    <pic:cNvPr id="0" name="findcare_gate_sequence.png"/>
                    <pic:cNvPicPr/>
                  </pic:nvPicPr>
                  <pic:blipFill>
                    <a:blip r:embed="rId12"/>
                    <a:stretch>
                      <a:fillRect/>
                    </a:stretch>
                  </pic:blipFill>
                  <pic:spPr>
                    <a:xfrm>
                      <a:off x="0" y="0"/>
                      <a:ext cx="5852160" cy="4318099"/>
                    </a:xfrm>
                    <a:prstGeom prst="rect"/>
                  </pic:spPr>
                </pic:pic>
              </a:graphicData>
            </a:graphic>
          </wp:inline>
        </w:drawing>
      </w:r>
    </w:p>
    <w:p>
      <w:pPr>
        <w:jc w:val="center"/>
      </w:pPr>
      <w:r>
        <w:rPr>
          <w:i/>
          <w:color w:val="6B7280"/>
          <w:sz w:val="18"/>
        </w:rPr>
        <w:t>One request, and the branch that decides whether a model is asked.</w:t>
      </w:r>
    </w:p>
    <w:p>
      <w:pPr/>
      <w:r>
        <w:t>The turn ends the same way whichever branch ran. The router streams NDJSON — one event per kind — and each widget subscribes to the kinds it owns and paints its own frame. The router addresses no frame. That is why one dispatch can light the specialty panel and the result list together, and why adding a frame does not mean adding a tool.</w:t>
      </w:r>
    </w:p>
    <w:p>
      <w:pPr/>
      <w:r>
        <w:rPr>
          <w:b/>
        </w:rPr>
        <w:t xml:space="preserve">The router dispatches the tool that owns the action. </w:t>
      </w:r>
      <w:r>
        <w:t>A target_action is not a place to write the work; it is a name for the tool that does it. The tool is where the request shape, the failure modes and the streamed result live, which is what makes them testable apart from the routing and reusable by a second caller.</w:t>
      </w:r>
    </w:p>
    <w:p>
      <w:pPr/>
      <w:r>
        <w:t>Code contradicts this design: three of the six dispatched actions do the work in the router instead. safetyLockout, closeConnection200 and findClinicalTrials each dispatch a tool. specialtySearch and findAProvider call FindCare inline through the shared post_to_findcare helper and stream the result themselves. findAFacility goes further and builds its own httpx client, mines the dialogue itself and wraps its own errors, borrowing provider_search_tool.findcare_url() for the address. sharedServices/Code/FacilitySearch/facility_search_tool.py — a complete tool with TOOL_NAME, Request, Response and run() — is imported by nothing, and the only file in the repository that names it is deployment_architecture.json, so it is hashed and shipped to the target on every deploy and never called.</w:t>
      </w:r>
    </w:p>
    <w:p>
      <w:pPr/>
      <w:r>
        <w:rPr>
          <w:b/>
        </w:rPr>
        <w:t>Designed change C-18</w:t>
      </w:r>
      <w:r>
        <w:t xml:space="preserve">  (owner: EPIC-002-F-004 owns the router and the tools)  The three search actions dispatch the tool named for them, as the other three already do. This is not a matter of wiring the orphaned tool in as it stands: it was written to the older shape, in which SharedServices held the domain knowledge of what a facility search is made of and passed structured criteria to FindCare's /search. The current shape sends the utterance and lets the page mine it (§2.5), so the tool's request contract is what changes — it carries the utterance and the prior dialogue, and its response carries the rows and what the page still needs. The inline blocks then go, and with them the third spelling of an HTTP call to FindCare.</w:t>
      </w:r>
    </w:p>
    <w:p>
      <w:pPr>
        <w:pStyle w:val="Heading2"/>
      </w:pPr>
      <w:r>
        <w:t>2.5 The same flow, page by page</w:t>
      </w:r>
    </w:p>
    <w:p>
      <w:pPr/>
      <w:r>
        <w:t>A page mines its own parameters. The router's whole part in a mining turn is producing two things — the last thing the person said, and everything said before it — and carrying them across the wire. It reads no parameter of the page it is dispatching to and writes none, so the knowledge of what a search is made of stays with the page that owns the search.</w:t>
      </w:r>
    </w:p>
    <w:p>
      <w:pPr/>
      <w:r>
        <w:t>What the page then does is the same four steps in all three cases, and the differences are entirely in what is mined and what is required.</w:t>
      </w:r>
    </w:p>
    <w:tbl>
      <w:tblPr>
        <w:tblStyle w:val="TableGrid"/>
        <w:tblW w:type="auto" w:w="0"/>
        <w:tblLook w:firstColumn="1" w:firstRow="1" w:lastColumn="0" w:lastRow="0" w:noHBand="0" w:noVBand="1" w:val="04A0"/>
      </w:tblPr>
      <w:tblGrid>
        <w:gridCol w:w="2160"/>
        <w:gridCol w:w="2160"/>
        <w:gridCol w:w="2160"/>
        <w:gridCol w:w="2160"/>
      </w:tblGrid>
      <w:tr>
        <w:tc>
          <w:tcPr>
            <w:tcW w:type="dxa" w:w="1368"/>
          </w:tcPr>
          <w:p>
            <w:r/>
            <w:r>
              <w:rPr>
                <w:b/>
                <w:sz w:val="18"/>
              </w:rPr>
            </w:r>
          </w:p>
        </w:tc>
        <w:tc>
          <w:tcPr>
            <w:tcW w:type="dxa" w:w="2520"/>
          </w:tcPr>
          <w:p>
            <w:r/>
            <w:r>
              <w:rPr>
                <w:b/>
                <w:sz w:val="18"/>
              </w:rPr>
              <w:t>Find an individual</w:t>
            </w:r>
          </w:p>
        </w:tc>
        <w:tc>
          <w:tcPr>
            <w:tcW w:type="dxa" w:w="2664"/>
          </w:tcPr>
          <w:p>
            <w:r/>
            <w:r>
              <w:rPr>
                <w:b/>
                <w:sz w:val="18"/>
              </w:rPr>
              <w:t>Find a facility</w:t>
            </w:r>
          </w:p>
        </w:tc>
        <w:tc>
          <w:tcPr>
            <w:tcW w:type="dxa" w:w="2376"/>
          </w:tcPr>
          <w:p>
            <w:r/>
            <w:r>
              <w:rPr>
                <w:b/>
                <w:sz w:val="18"/>
              </w:rPr>
              <w:t>Find a clinical trial</w:t>
            </w:r>
          </w:p>
        </w:tc>
      </w:tr>
      <w:tr>
        <w:tc>
          <w:tcPr>
            <w:tcW w:type="dxa" w:w="1368"/>
          </w:tcPr>
          <w:p>
            <w:r/>
            <w:r>
              <w:rPr>
                <w:sz w:val="18"/>
              </w:rPr>
              <w:t>Action</w:t>
            </w:r>
          </w:p>
        </w:tc>
        <w:tc>
          <w:tcPr>
            <w:tcW w:type="dxa" w:w="2520"/>
          </w:tcPr>
          <w:p>
            <w:r/>
            <w:r>
              <w:rPr>
                <w:sz w:val="18"/>
              </w:rPr>
              <w:t>findAProvider</w:t>
            </w:r>
          </w:p>
        </w:tc>
        <w:tc>
          <w:tcPr>
            <w:tcW w:type="dxa" w:w="2664"/>
          </w:tcPr>
          <w:p>
            <w:r/>
            <w:r>
              <w:rPr>
                <w:sz w:val="18"/>
              </w:rPr>
              <w:t>findAFacility</w:t>
            </w:r>
          </w:p>
        </w:tc>
        <w:tc>
          <w:tcPr>
            <w:tcW w:type="dxa" w:w="2376"/>
          </w:tcPr>
          <w:p>
            <w:r/>
            <w:r>
              <w:rPr>
                <w:sz w:val="18"/>
              </w:rPr>
              <w:t>findClinicalTrials</w:t>
            </w:r>
          </w:p>
        </w:tc>
      </w:tr>
      <w:tr>
        <w:tc>
          <w:tcPr>
            <w:tcW w:type="dxa" w:w="1368"/>
          </w:tcPr>
          <w:p>
            <w:r/>
            <w:r>
              <w:rPr>
                <w:sz w:val="18"/>
              </w:rPr>
              <w:t>Page</w:t>
            </w:r>
          </w:p>
        </w:tc>
        <w:tc>
          <w:tcPr>
            <w:tcW w:type="dxa" w:w="2520"/>
          </w:tcPr>
          <w:p>
            <w:r/>
            <w:r>
              <w:rPr>
                <w:sz w:val="18"/>
              </w:rPr>
              <w:t>individualProvider</w:t>
            </w:r>
          </w:p>
        </w:tc>
        <w:tc>
          <w:tcPr>
            <w:tcW w:type="dxa" w:w="2664"/>
          </w:tcPr>
          <w:p>
            <w:r/>
            <w:r>
              <w:rPr>
                <w:sz w:val="18"/>
              </w:rPr>
              <w:t>facility</w:t>
            </w:r>
          </w:p>
        </w:tc>
        <w:tc>
          <w:tcPr>
            <w:tcW w:type="dxa" w:w="2376"/>
          </w:tcPr>
          <w:p>
            <w:r/>
            <w:r>
              <w:rPr>
                <w:sz w:val="18"/>
              </w:rPr>
              <w:t>clinicalTrial</w:t>
            </w:r>
          </w:p>
        </w:tc>
      </w:tr>
      <w:tr>
        <w:tc>
          <w:tcPr>
            <w:tcW w:type="dxa" w:w="1368"/>
          </w:tcPr>
          <w:p>
            <w:r/>
            <w:r>
              <w:rPr>
                <w:sz w:val="18"/>
              </w:rPr>
              <w:t>Endpoint</w:t>
            </w:r>
          </w:p>
        </w:tc>
        <w:tc>
          <w:tcPr>
            <w:tcW w:type="dxa" w:w="2520"/>
          </w:tcPr>
          <w:p>
            <w:r/>
            <w:r>
              <w:rPr>
                <w:sz w:val="18"/>
              </w:rPr>
              <w:t>/provider/find</w:t>
            </w:r>
          </w:p>
        </w:tc>
        <w:tc>
          <w:tcPr>
            <w:tcW w:type="dxa" w:w="2664"/>
          </w:tcPr>
          <w:p>
            <w:r/>
            <w:r>
              <w:rPr>
                <w:sz w:val="18"/>
              </w:rPr>
              <w:t>/facility/find</w:t>
            </w:r>
          </w:p>
        </w:tc>
        <w:tc>
          <w:tcPr>
            <w:tcW w:type="dxa" w:w="2376"/>
          </w:tcPr>
          <w:p>
            <w:r/>
            <w:r>
              <w:rPr>
                <w:sz w:val="18"/>
              </w:rPr>
              <w:t>/trial/find</w:t>
            </w:r>
          </w:p>
        </w:tc>
      </w:tr>
      <w:tr>
        <w:tc>
          <w:tcPr>
            <w:tcW w:type="dxa" w:w="1368"/>
          </w:tcPr>
          <w:p>
            <w:r/>
            <w:r>
              <w:rPr>
                <w:sz w:val="18"/>
              </w:rPr>
              <w:t>Mined</w:t>
            </w:r>
          </w:p>
        </w:tc>
        <w:tc>
          <w:tcPr>
            <w:tcW w:type="dxa" w:w="2520"/>
          </w:tcPr>
          <w:p>
            <w:r/>
            <w:r>
              <w:rPr>
                <w:sz w:val="18"/>
              </w:rPr>
              <w:t>geography, the complaint, a named person</w:t>
            </w:r>
          </w:p>
        </w:tc>
        <w:tc>
          <w:tcPr>
            <w:tcW w:type="dxa" w:w="2664"/>
          </w:tcPr>
          <w:p>
            <w:r/>
            <w:r>
              <w:rPr>
                <w:sz w:val="18"/>
              </w:rPr>
              <w:t>geography, the kind of place, a named organization, the administrator's name</w:t>
            </w:r>
          </w:p>
        </w:tc>
        <w:tc>
          <w:tcPr>
            <w:tcW w:type="dxa" w:w="2376"/>
          </w:tcPr>
          <w:p>
            <w:r/>
            <w:r>
              <w:rPr>
                <w:sz w:val="18"/>
              </w:rPr>
              <w:t>the condition, and what narrows it</w:t>
            </w:r>
          </w:p>
        </w:tc>
      </w:tr>
      <w:tr>
        <w:tc>
          <w:tcPr>
            <w:tcW w:type="dxa" w:w="1368"/>
          </w:tcPr>
          <w:p>
            <w:r/>
            <w:r>
              <w:rPr>
                <w:sz w:val="18"/>
              </w:rPr>
              <w:t>Taxonomy</w:t>
            </w:r>
          </w:p>
        </w:tc>
        <w:tc>
          <w:tcPr>
            <w:tcW w:type="dxa" w:w="2520"/>
          </w:tcPr>
          <w:p>
            <w:r/>
            <w:r>
              <w:rPr>
                <w:sz w:val="18"/>
              </w:rPr>
              <w:t>NUCC Individual codes, from the complaint</w:t>
            </w:r>
          </w:p>
        </w:tc>
        <w:tc>
          <w:tcPr>
            <w:tcW w:type="dxa" w:w="2664"/>
          </w:tcPr>
          <w:p>
            <w:r/>
            <w:r>
              <w:rPr>
                <w:sz w:val="18"/>
              </w:rPr>
              <w:t>NUCC Non-Individual codes, from the kind of place</w:t>
            </w:r>
          </w:p>
        </w:tc>
        <w:tc>
          <w:tcPr>
            <w:tcW w:type="dxa" w:w="2376"/>
          </w:tcPr>
          <w:p>
            <w:r/>
            <w:r>
              <w:rPr>
                <w:sz w:val="18"/>
              </w:rPr>
              <w:t>none — the registry has its own vocabulary</w:t>
            </w:r>
          </w:p>
        </w:tc>
      </w:tr>
      <w:tr>
        <w:tc>
          <w:tcPr>
            <w:tcW w:type="dxa" w:w="1368"/>
          </w:tcPr>
          <w:p>
            <w:r/>
            <w:r>
              <w:rPr>
                <w:sz w:val="18"/>
              </w:rPr>
              <w:t>Required</w:t>
            </w:r>
          </w:p>
        </w:tc>
        <w:tc>
          <w:tcPr>
            <w:tcW w:type="dxa" w:w="2520"/>
          </w:tcPr>
          <w:p>
            <w:r/>
            <w:r>
              <w:rPr>
                <w:sz w:val="18"/>
              </w:rPr>
              <w:t>state</w:t>
            </w:r>
          </w:p>
        </w:tc>
        <w:tc>
          <w:tcPr>
            <w:tcW w:type="dxa" w:w="2664"/>
          </w:tcPr>
          <w:p>
            <w:r/>
            <w:r>
              <w:rPr>
                <w:sz w:val="18"/>
              </w:rPr>
              <w:t>state</w:t>
            </w:r>
          </w:p>
        </w:tc>
        <w:tc>
          <w:tcPr>
            <w:tcW w:type="dxa" w:w="2376"/>
          </w:tcPr>
          <w:p>
            <w:r/>
            <w:r>
              <w:rPr>
                <w:sz w:val="18"/>
              </w:rPr>
              <w:t>none declared</w:t>
            </w:r>
          </w:p>
        </w:tc>
      </w:tr>
      <w:tr>
        <w:tc>
          <w:tcPr>
            <w:tcW w:type="dxa" w:w="1368"/>
          </w:tcPr>
          <w:p>
            <w:r/>
            <w:r>
              <w:rPr>
                <w:sz w:val="18"/>
              </w:rPr>
              <w:t>Painted by</w:t>
            </w:r>
          </w:p>
        </w:tc>
        <w:tc>
          <w:tcPr>
            <w:tcW w:type="dxa" w:w="2520"/>
          </w:tcPr>
          <w:p>
            <w:r/>
            <w:r>
              <w:rPr>
                <w:sz w:val="18"/>
              </w:rPr>
              <w:t>specialties, providers</w:t>
            </w:r>
          </w:p>
        </w:tc>
        <w:tc>
          <w:tcPr>
            <w:tcW w:type="dxa" w:w="2664"/>
          </w:tcPr>
          <w:p>
            <w:r/>
            <w:r>
              <w:rPr>
                <w:sz w:val="18"/>
              </w:rPr>
              <w:t>intent_classified, facilities</w:t>
            </w:r>
          </w:p>
        </w:tc>
        <w:tc>
          <w:tcPr>
            <w:tcW w:type="dxa" w:w="2376"/>
          </w:tcPr>
          <w:p>
            <w:r/>
            <w:r>
              <w:rPr>
                <w:sz w:val="18"/>
              </w:rPr>
              <w:t>clinical_trials_chunk</w:t>
            </w:r>
          </w:p>
        </w:tc>
      </w:tr>
    </w:tbl>
    <w:p/>
    <w:p>
      <w:pPr/>
      <w:r>
        <w:t>Written out, the four steps are: mine the parameters from the utterance; write them to the page, before the search rather than after, so that what the answer was produced under is on the session whatever the search then does; read back what is in force, which is the merge of everything said so far and not just this turn — that is what lets an answer add to a request instead of replacing it; and then ask the declaration which required parameters are not in force. If any are, the page does not search. It returns their names, and the router asks the person about exactly those.</w:t>
      </w:r>
    </w:p>
    <w:p>
      <w:pPr>
        <w:pStyle w:val="Heading2"/>
      </w:pPr>
      <w:r>
        <w:t>2.6 Choosing a taxonomy: one funnel, two capabilities</w:t>
      </w:r>
    </w:p>
    <w:p>
      <w:pPr/>
      <w:r>
        <w:t>Both search pages have to turn what a person said into codes from the NUCC taxonomy before they can search, because the registry classifies on those codes and nothing else. That is one capability in the sense that it is one funnel, and two capabilities in the sense that matters to a person using it.</w:t>
      </w:r>
    </w:p>
    <w:p>
      <w:pPr/>
      <w:r>
        <w:t>The funnel is: normalise what was said into the vocabulary the catalogue uses; embed it; vector-search the catalogue; hand the candidates to a second model that narrows them; intersect the answer with the candidate set so nothing is returned that was not a candidate. One stage sequence, one cosine floor, one catch point.</w:t>
      </w:r>
    </w:p>
    <w:p>
      <w:pPr/>
      <w:r>
        <w:t>The two resolutions differ in exactly two things — the partition of the catalogue the query searches, and the prompt text the two model stages read. Everything else is shared, so the two cannot drift apart from one another.</w:t>
      </w:r>
    </w:p>
    <w:tbl>
      <w:tblPr>
        <w:tblStyle w:val="TableGrid"/>
        <w:tblW w:type="auto" w:w="0"/>
        <w:tblLook w:firstColumn="1" w:firstRow="1" w:lastColumn="0" w:lastRow="0" w:noHBand="0" w:noVBand="1" w:val="04A0"/>
      </w:tblPr>
      <w:tblGrid>
        <w:gridCol w:w="2880"/>
        <w:gridCol w:w="2880"/>
        <w:gridCol w:w="2880"/>
      </w:tblGrid>
      <w:tr>
        <w:tc>
          <w:tcPr>
            <w:tcW w:type="dxa" w:w="2160"/>
          </w:tcPr>
          <w:p>
            <w:r/>
            <w:r>
              <w:rPr>
                <w:b/>
                <w:sz w:val="18"/>
              </w:rPr>
            </w:r>
          </w:p>
        </w:tc>
        <w:tc>
          <w:tcPr>
            <w:tcW w:type="dxa" w:w="3456"/>
          </w:tcPr>
          <w:p>
            <w:r/>
            <w:r>
              <w:rPr>
                <w:b/>
                <w:sz w:val="18"/>
              </w:rPr>
              <w:t>A care giver</w:t>
            </w:r>
          </w:p>
        </w:tc>
        <w:tc>
          <w:tcPr>
            <w:tcW w:type="dxa" w:w="3312"/>
          </w:tcPr>
          <w:p>
            <w:r/>
            <w:r>
              <w:rPr>
                <w:b/>
                <w:sz w:val="18"/>
              </w:rPr>
              <w:t>A facility</w:t>
            </w:r>
          </w:p>
        </w:tc>
      </w:tr>
      <w:tr>
        <w:tc>
          <w:tcPr>
            <w:tcW w:type="dxa" w:w="2160"/>
          </w:tcPr>
          <w:p>
            <w:r/>
            <w:r>
              <w:rPr>
                <w:sz w:val="18"/>
              </w:rPr>
              <w:t>Catalogue partition</w:t>
            </w:r>
          </w:p>
        </w:tc>
        <w:tc>
          <w:tcPr>
            <w:tcW w:type="dxa" w:w="3456"/>
          </w:tcPr>
          <w:p>
            <w:r/>
            <w:r>
              <w:rPr>
                <w:sz w:val="18"/>
              </w:rPr>
              <w:t>Section = Individual</w:t>
            </w:r>
          </w:p>
        </w:tc>
        <w:tc>
          <w:tcPr>
            <w:tcW w:type="dxa" w:w="3312"/>
          </w:tcPr>
          <w:p>
            <w:r/>
            <w:r>
              <w:rPr>
                <w:sz w:val="18"/>
              </w:rPr>
              <w:t>Section = Non-Individual</w:t>
            </w:r>
          </w:p>
        </w:tc>
      </w:tr>
      <w:tr>
        <w:tc>
          <w:tcPr>
            <w:tcW w:type="dxa" w:w="2160"/>
          </w:tcPr>
          <w:p>
            <w:r/>
            <w:r>
              <w:rPr>
                <w:sz w:val="18"/>
              </w:rPr>
              <w:t>The question asked</w:t>
            </w:r>
          </w:p>
        </w:tc>
        <w:tc>
          <w:tcPr>
            <w:tcW w:type="dxa" w:w="3456"/>
          </w:tcPr>
          <w:p>
            <w:r/>
            <w:r>
              <w:rPr>
                <w:sz w:val="18"/>
              </w:rPr>
              <w:t>What kind of practitioner treats this?</w:t>
            </w:r>
          </w:p>
        </w:tc>
        <w:tc>
          <w:tcPr>
            <w:tcW w:type="dxa" w:w="3312"/>
          </w:tcPr>
          <w:p>
            <w:r/>
            <w:r>
              <w:rPr>
                <w:sz w:val="18"/>
              </w:rPr>
              <w:t>What kind of place delivers this?</w:t>
            </w:r>
          </w:p>
        </w:tc>
      </w:tr>
      <w:tr>
        <w:tc>
          <w:tcPr>
            <w:tcW w:type="dxa" w:w="2160"/>
          </w:tcPr>
          <w:p>
            <w:r/>
            <w:r>
              <w:rPr>
                <w:sz w:val="18"/>
              </w:rPr>
              <w:t>Stage 1 prompt</w:t>
            </w:r>
          </w:p>
        </w:tc>
        <w:tc>
          <w:tcPr>
            <w:tcW w:type="dxa" w:w="3456"/>
          </w:tcPr>
          <w:p>
            <w:r/>
            <w:r>
              <w:rPr>
                <w:sz w:val="18"/>
              </w:rPr>
              <w:t>specialty_normalize_system_prompt</w:t>
            </w:r>
          </w:p>
        </w:tc>
        <w:tc>
          <w:tcPr>
            <w:tcW w:type="dxa" w:w="3312"/>
          </w:tcPr>
          <w:p>
            <w:r/>
            <w:r>
              <w:rPr>
                <w:sz w:val="18"/>
              </w:rPr>
              <w:t>facility_normalize_system_prompt</w:t>
            </w:r>
          </w:p>
        </w:tc>
      </w:tr>
      <w:tr>
        <w:tc>
          <w:tcPr>
            <w:tcW w:type="dxa" w:w="2160"/>
          </w:tcPr>
          <w:p>
            <w:r/>
            <w:r>
              <w:rPr>
                <w:sz w:val="18"/>
              </w:rPr>
              <w:t>Stage 2 prompt</w:t>
            </w:r>
          </w:p>
        </w:tc>
        <w:tc>
          <w:tcPr>
            <w:tcW w:type="dxa" w:w="3456"/>
          </w:tcPr>
          <w:p>
            <w:r/>
            <w:r>
              <w:rPr>
                <w:sz w:val="18"/>
              </w:rPr>
              <w:t>specialty_filter_system_prompt</w:t>
            </w:r>
          </w:p>
        </w:tc>
        <w:tc>
          <w:tcPr>
            <w:tcW w:type="dxa" w:w="3312"/>
          </w:tcPr>
          <w:p>
            <w:r/>
            <w:r>
              <w:rPr>
                <w:sz w:val="18"/>
              </w:rPr>
              <w:t>facility_filter_system_prompt</w:t>
            </w:r>
          </w:p>
        </w:tc>
      </w:tr>
      <w:tr>
        <w:tc>
          <w:tcPr>
            <w:tcW w:type="dxa" w:w="2160"/>
          </w:tcPr>
          <w:p>
            <w:r/>
            <w:r>
              <w:rPr>
                <w:sz w:val="18"/>
              </w:rPr>
              <w:t>Panel label</w:t>
            </w:r>
          </w:p>
        </w:tc>
        <w:tc>
          <w:tcPr>
            <w:tcW w:type="dxa" w:w="3456"/>
          </w:tcPr>
          <w:p>
            <w:r/>
            <w:r>
              <w:rPr>
                <w:sz w:val="18"/>
              </w:rPr>
              <w:t>Choose specialties</w:t>
            </w:r>
          </w:p>
        </w:tc>
        <w:tc>
          <w:tcPr>
            <w:tcW w:type="dxa" w:w="3312"/>
          </w:tcPr>
          <w:p>
            <w:r/>
            <w:r>
              <w:rPr>
                <w:sz w:val="18"/>
              </w:rPr>
              <w:t>Choose facility type</w:t>
            </w:r>
          </w:p>
        </w:tc>
      </w:tr>
    </w:tbl>
    <w:p/>
    <w:p>
      <w:pPr/>
      <w:r>
        <w:t>The difference is not a filter applied to one answer. The two partitions answer differently to the same words, and a resolution that borrowed the other's answer would be wrong rather than imprecise. The facility prompt states it outright: a place that treats kidneys is an End-Stage Renal Disease treatment centre, not nephrology; somewhere to get an x-ray is a radiology clinic, not a radiologist. One is a specialty a person holds, the other is a kind of place a person goes to, and they are different NUCC sections because they are different things.</w:t>
      </w:r>
    </w:p>
    <w:p>
      <w:pPr/>
      <w:r>
        <w:t>This is why NUCC is a page in the declaration and not a part of either search page. The tool is shared; the values are not. The codes ticked on the facility page are not the codes ticked on the care-giver page, and a page is the scope a value lives in.</w:t>
      </w:r>
    </w:p>
    <w:p>
      <w:pPr/>
      <w:r>
        <w:t>Code contradicts this design: ToolConfiguration gives the individualProvider page the SpecialtyFilter tool, and gives the facility page only FacilitySearch and FacilityDetail. So the care-giver page is offered the panel and the facility page is not — which is visible in §1.2, where the left panel is empty. The facility resolution runs anyway, inside /facility/find, which resolves the mined facility type into codes and writes them to the page; the person simply never sees the panel and cannot narrow what was chosen for them.</w:t>
      </w:r>
    </w:p>
    <w:p>
      <w:pPr/>
      <w:r>
        <w:rPr>
          <w:b/>
        </w:rPr>
        <w:t>Designed change C-19</w:t>
      </w:r>
      <w:r>
        <w:t xml:space="preserve">  (owner: EPIC-006 for the page, EPIC-002-F-004 for the declaration)  The facility page declares SpecialtyFilter among its tools, and /facility/find returns the offered rows on the same key the care-giver search already returns them on, so the panel is painted by the widget that already paints it. The rows leave in the shape the panel holds them in — this is already true of the facility resolution, which was written to return the shape /nucc/classify hands back precisely so that a kind of place and a specialty are one shape wherever they are read. No new panel, no second widget, and the codes land in the facility page's own parameter because a page is the scope a value lives in.</w:t>
      </w:r>
    </w:p>
    <w:p>
      <w:pPr>
        <w:pStyle w:val="Heading2"/>
      </w:pPr>
      <w:r>
        <w:t>2.7 Parameters, and why no page decides what it needs</w:t>
      </w:r>
    </w:p>
    <w:p>
      <w:pPr/>
      <w:r>
        <w:t>A tool that runs on parameters has to answer three questions about every name it might see: is this one I cannot run without, one I will use if I have it, or one that is none of my business? The ordinary way to answer them is in code — a required list here, a validation there, an if-statement somewhere else — and the ordinary consequence is that no two tools answer them the same way, and that making a parameter required is a code change in however many places happen to care.</w:t>
      </w:r>
    </w:p>
    <w:p>
      <w:pPr/>
      <w:r>
        <w:t xml:space="preserve">None of that is in code. It is declared, in one document — </w:t>
      </w:r>
      <w:r>
        <w:rPr>
          <w:rFonts w:ascii="Consolas" w:hAnsi="Consolas"/>
          <w:sz w:val="18"/>
        </w:rPr>
        <w:t>ChatHealthyConfig.ToolConfiguration</w:t>
      </w:r>
      <w:r>
        <w:t>, one record per environment — and read at the moment a tool needs to know. Making a parameter required is an edit to that record and a deploy. No page holds a rule of its own, and nothing can enforce a requirement the record does not state.</w:t>
      </w:r>
    </w:p>
    <w:p>
      <w:pPr>
        <w:jc w:val="center"/>
      </w:pPr>
      <w:r>
        <w:drawing>
          <wp:inline xmlns:a="http://schemas.openxmlformats.org/drawingml/2006/main" xmlns:pic="http://schemas.openxmlformats.org/drawingml/2006/picture">
            <wp:extent cx="4937760" cy="3936492"/>
            <wp:docPr id="6" name="Picture 6"/>
            <wp:cNvGraphicFramePr>
              <a:graphicFrameLocks noChangeAspect="1"/>
            </wp:cNvGraphicFramePr>
            <a:graphic>
              <a:graphicData uri="http://schemas.openxmlformats.org/drawingml/2006/picture">
                <pic:pic>
                  <pic:nvPicPr>
                    <pic:cNvPr id="0" name="findcare_tool_configuration.png"/>
                    <pic:cNvPicPr/>
                  </pic:nvPicPr>
                  <pic:blipFill>
                    <a:blip r:embed="rId13"/>
                    <a:stretch>
                      <a:fillRect/>
                    </a:stretch>
                  </pic:blipFill>
                  <pic:spPr>
                    <a:xfrm>
                      <a:off x="0" y="0"/>
                      <a:ext cx="4937760" cy="3936492"/>
                    </a:xfrm>
                    <a:prstGeom prst="rect"/>
                  </pic:spPr>
                </pic:pic>
              </a:graphicData>
            </a:graphic>
          </wp:inline>
        </w:drawing>
      </w:r>
    </w:p>
    <w:p>
      <w:pPr>
        <w:jc w:val="center"/>
      </w:pPr>
      <w:r>
        <w:rPr>
          <w:i/>
          <w:color w:val="6B7280"/>
          <w:sz w:val="18"/>
        </w:rPr>
        <w:t>ToolConfiguration — three lists, and the join that decides what a tool may ask for.</w:t>
      </w:r>
    </w:p>
    <w:p>
      <w:pPr/>
      <w:r>
        <w:t>The record is a document and not a relational schema; the diagram is drawn in the relational idiom because the joins are what it is about, and the joins are real even though the storage is not. There are no foreign keys and no referential integrity: a subscription names a tool by its string, and a tool that no page carries is simply a tool nothing calls. The three lists are flat and nothing is nested, which is the point — a tool appears in all three, and nothing is stated twice, so nothing can disagree with itself.</w:t>
      </w:r>
    </w:p>
    <w:p>
      <w:pPr/>
      <w:r>
        <w:t>The three lists, as they are stored:</w:t>
      </w:r>
    </w:p>
    <w:p>
      <w:pPr>
        <w:spacing w:after="0"/>
        <w:ind w:left="432"/>
      </w:pPr>
      <w:r>
        <w:rPr>
          <w:rFonts w:ascii="Consolas" w:hAnsi="Consolas"/>
          <w:sz w:val="17"/>
        </w:rPr>
        <w:t>"pages": [</w:t>
      </w:r>
    </w:p>
    <w:p>
      <w:pPr>
        <w:spacing w:after="0"/>
        <w:ind w:left="432"/>
      </w:pPr>
      <w:r>
        <w:rPr>
          <w:rFonts w:ascii="Consolas" w:hAnsi="Consolas"/>
          <w:sz w:val="17"/>
        </w:rPr>
        <w:t xml:space="preserve">  { "page": "individualProvider",</w:t>
      </w:r>
    </w:p>
    <w:p>
      <w:pPr>
        <w:spacing w:after="0"/>
        <w:ind w:left="432"/>
      </w:pPr>
      <w:r>
        <w:rPr>
          <w:rFonts w:ascii="Consolas" w:hAnsi="Consolas"/>
          <w:sz w:val="17"/>
        </w:rPr>
        <w:t xml:space="preserve">    "tools": ["ProviderSearch", "SpecialtyFilter",</w:t>
      </w:r>
    </w:p>
    <w:p>
      <w:pPr>
        <w:spacing w:after="0"/>
        <w:ind w:left="432"/>
      </w:pPr>
      <w:r>
        <w:rPr>
          <w:rFonts w:ascii="Consolas" w:hAnsi="Consolas"/>
          <w:sz w:val="17"/>
        </w:rPr>
        <w:t xml:space="preserve">              "ProviderDetail", "ProviderSelection"] },</w:t>
      </w:r>
    </w:p>
    <w:p>
      <w:pPr>
        <w:spacing w:after="0"/>
        <w:ind w:left="432"/>
      </w:pPr>
      <w:r>
        <w:rPr>
          <w:rFonts w:ascii="Consolas" w:hAnsi="Consolas"/>
          <w:sz w:val="17"/>
        </w:rPr>
        <w:t xml:space="preserve">  { "page": "facility",       "tools": ["FacilitySearch", "FacilityDetail"] },</w:t>
      </w:r>
    </w:p>
    <w:p>
      <w:pPr>
        <w:spacing w:after="0"/>
        <w:ind w:left="432"/>
      </w:pPr>
      <w:r>
        <w:rPr>
          <w:rFonts w:ascii="Consolas" w:hAnsi="Consolas"/>
          <w:sz w:val="17"/>
        </w:rPr>
        <w:t xml:space="preserve">  { "page": "NUCC",           "tools": ["SpecialtyFilter"] },</w:t>
      </w:r>
    </w:p>
    <w:p>
      <w:pPr>
        <w:spacing w:after="0"/>
        <w:ind w:left="432"/>
      </w:pPr>
      <w:r>
        <w:rPr>
          <w:rFonts w:ascii="Consolas" w:hAnsi="Consolas"/>
          <w:sz w:val="17"/>
        </w:rPr>
        <w:t xml:space="preserve">  { "page": "clinicalTrial",  "tools": ["ClinicalTrials"] }</w:t>
      </w:r>
    </w:p>
    <w:p>
      <w:pPr>
        <w:spacing w:after="0"/>
        <w:ind w:left="432"/>
      </w:pPr>
      <w:r>
        <w:rPr>
          <w:rFonts w:ascii="Consolas" w:hAnsi="Consolas"/>
          <w:sz w:val="17"/>
        </w:rPr>
        <w:t>]</w:t>
      </w:r>
    </w:p>
    <w:p/>
    <w:p>
      <w:pPr>
        <w:spacing w:after="0"/>
        <w:ind w:left="432"/>
      </w:pPr>
      <w:r>
        <w:rPr>
          <w:rFonts w:ascii="Consolas" w:hAnsi="Consolas"/>
          <w:sz w:val="17"/>
        </w:rPr>
        <w:t>"tools": [</w:t>
      </w:r>
    </w:p>
    <w:p>
      <w:pPr>
        <w:spacing w:after="0"/>
        <w:ind w:left="432"/>
      </w:pPr>
      <w:r>
        <w:rPr>
          <w:rFonts w:ascii="Consolas" w:hAnsi="Consolas"/>
          <w:sz w:val="17"/>
        </w:rPr>
        <w:t xml:space="preserve">  { "tool": "ProviderSearch",  "server": "find_care", "endpoint": "/provider/find" },</w:t>
      </w:r>
    </w:p>
    <w:p>
      <w:pPr>
        <w:spacing w:after="0"/>
        <w:ind w:left="432"/>
      </w:pPr>
      <w:r>
        <w:rPr>
          <w:rFonts w:ascii="Consolas" w:hAnsi="Consolas"/>
          <w:sz w:val="17"/>
        </w:rPr>
        <w:t xml:space="preserve">  { "tool": "ProviderDetail",  "server": "find_care", "endpoint": "/provider-detail" },</w:t>
      </w:r>
    </w:p>
    <w:p>
      <w:pPr>
        <w:spacing w:after="0"/>
        <w:ind w:left="432"/>
      </w:pPr>
      <w:r>
        <w:rPr>
          <w:rFonts w:ascii="Consolas" w:hAnsi="Consolas"/>
          <w:sz w:val="17"/>
        </w:rPr>
        <w:t xml:space="preserve">  { "tool": "FacilitySearch",  "server": "find_care", "endpoint": "/facility/find" },</w:t>
      </w:r>
    </w:p>
    <w:p>
      <w:pPr>
        <w:spacing w:after="0"/>
        <w:ind w:left="432"/>
      </w:pPr>
      <w:r>
        <w:rPr>
          <w:rFonts w:ascii="Consolas" w:hAnsi="Consolas"/>
          <w:sz w:val="17"/>
        </w:rPr>
        <w:t xml:space="preserve">  { "tool": "FacilityDetail",  "server": "find_care", "endpoint": "/provider-detail" },</w:t>
      </w:r>
    </w:p>
    <w:p>
      <w:pPr>
        <w:spacing w:after="0"/>
        <w:ind w:left="432"/>
      </w:pPr>
      <w:r>
        <w:rPr>
          <w:rFonts w:ascii="Consolas" w:hAnsi="Consolas"/>
          <w:sz w:val="17"/>
        </w:rPr>
        <w:t xml:space="preserve">  { "tool": "SpecialtyFilter", "server": "find_care", "endpoint": "/specialty/find" },</w:t>
      </w:r>
    </w:p>
    <w:p>
      <w:pPr>
        <w:spacing w:after="0"/>
        <w:ind w:left="432"/>
      </w:pPr>
      <w:r>
        <w:rPr>
          <w:rFonts w:ascii="Consolas" w:hAnsi="Consolas"/>
          <w:sz w:val="17"/>
        </w:rPr>
        <w:t xml:space="preserve">  { "tool": "ClinicalTrials",  "server": "find_care", "endpoint": "/trial/find" },</w:t>
      </w:r>
    </w:p>
    <w:p>
      <w:pPr>
        <w:spacing w:after="0"/>
        <w:ind w:left="432"/>
      </w:pPr>
      <w:r>
        <w:rPr>
          <w:rFonts w:ascii="Consolas" w:hAnsi="Consolas"/>
          <w:sz w:val="17"/>
        </w:rPr>
        <w:t xml:space="preserve">  { "tool": "ProviderSelection", "server": "shared_services",</w:t>
      </w:r>
    </w:p>
    <w:p>
      <w:pPr>
        <w:spacing w:after="0"/>
        <w:ind w:left="432"/>
      </w:pPr>
      <w:r>
        <w:rPr>
          <w:rFonts w:ascii="Consolas" w:hAnsi="Consolas"/>
          <w:sz w:val="17"/>
        </w:rPr>
        <w:t xml:space="preserve">    "endpoint": "provider_selection" }</w:t>
      </w:r>
    </w:p>
    <w:p>
      <w:pPr>
        <w:spacing w:after="0"/>
        <w:ind w:left="432"/>
      </w:pPr>
      <w:r>
        <w:rPr>
          <w:rFonts w:ascii="Consolas" w:hAnsi="Consolas"/>
          <w:sz w:val="17"/>
        </w:rPr>
        <w:t>]</w:t>
      </w:r>
    </w:p>
    <w:p/>
    <w:p>
      <w:pPr>
        <w:spacing w:after="0"/>
        <w:ind w:left="432"/>
      </w:pPr>
      <w:r>
        <w:rPr>
          <w:rFonts w:ascii="Consolas" w:hAnsi="Consolas"/>
          <w:sz w:val="17"/>
        </w:rPr>
        <w:t>"parameters": [</w:t>
      </w:r>
    </w:p>
    <w:p>
      <w:pPr>
        <w:spacing w:after="0"/>
        <w:ind w:left="432"/>
      </w:pPr>
      <w:r>
        <w:rPr>
          <w:rFonts w:ascii="Consolas" w:hAnsi="Consolas"/>
          <w:sz w:val="17"/>
        </w:rPr>
        <w:t xml:space="preserve">  { "name": "state",</w:t>
      </w:r>
    </w:p>
    <w:p>
      <w:pPr>
        <w:spacing w:after="0"/>
        <w:ind w:left="432"/>
      </w:pPr>
      <w:r>
        <w:rPr>
          <w:rFonts w:ascii="Consolas" w:hAnsi="Consolas"/>
          <w:sz w:val="17"/>
        </w:rPr>
        <w:t xml:space="preserve">    "value_type": "string",</w:t>
      </w:r>
    </w:p>
    <w:p>
      <w:pPr>
        <w:spacing w:after="0"/>
        <w:ind w:left="432"/>
      </w:pPr>
      <w:r>
        <w:rPr>
          <w:rFonts w:ascii="Consolas" w:hAnsi="Consolas"/>
          <w:sz w:val="17"/>
        </w:rPr>
        <w:t xml:space="preserve">    "description": "The two-letter USPS code. Healthcare is regulated per</w:t>
      </w:r>
    </w:p>
    <w:p>
      <w:pPr>
        <w:spacing w:after="0"/>
        <w:ind w:left="432"/>
      </w:pPr>
      <w:r>
        <w:rPr>
          <w:rFonts w:ascii="Consolas" w:hAnsi="Consolas"/>
          <w:sz w:val="17"/>
        </w:rPr>
        <w:t xml:space="preserve">                    state, so this is not a narrowing: it decides which</w:t>
      </w:r>
    </w:p>
    <w:p>
      <w:pPr>
        <w:spacing w:after="0"/>
        <w:ind w:left="432"/>
      </w:pPr>
      <w:r>
        <w:rPr>
          <w:rFonts w:ascii="Consolas" w:hAnsi="Consolas"/>
          <w:sz w:val="17"/>
        </w:rPr>
        <w:t xml:space="preserve">                    board licenses the care giver.",</w:t>
      </w:r>
    </w:p>
    <w:p>
      <w:pPr>
        <w:spacing w:after="0"/>
        <w:ind w:left="432"/>
      </w:pPr>
      <w:r>
        <w:rPr>
          <w:rFonts w:ascii="Consolas" w:hAnsi="Consolas"/>
          <w:sz w:val="17"/>
        </w:rPr>
        <w:t xml:space="preserve">    "subscriptions": [</w:t>
      </w:r>
    </w:p>
    <w:p>
      <w:pPr>
        <w:spacing w:after="0"/>
        <w:ind w:left="432"/>
      </w:pPr>
      <w:r>
        <w:rPr>
          <w:rFonts w:ascii="Consolas" w:hAnsi="Consolas"/>
          <w:sz w:val="17"/>
        </w:rPr>
        <w:t xml:space="preserve">      { "tool": "ProviderSearch",  "use": "Required" },</w:t>
      </w:r>
    </w:p>
    <w:p>
      <w:pPr>
        <w:spacing w:after="0"/>
        <w:ind w:left="432"/>
      </w:pPr>
      <w:r>
        <w:rPr>
          <w:rFonts w:ascii="Consolas" w:hAnsi="Consolas"/>
          <w:sz w:val="17"/>
        </w:rPr>
        <w:t xml:space="preserve">      { "tool": "FacilitySearch",  "use": "Required" },</w:t>
      </w:r>
    </w:p>
    <w:p>
      <w:pPr>
        <w:spacing w:after="0"/>
        <w:ind w:left="432"/>
      </w:pPr>
      <w:r>
        <w:rPr>
          <w:rFonts w:ascii="Consolas" w:hAnsi="Consolas"/>
          <w:sz w:val="17"/>
        </w:rPr>
        <w:t xml:space="preserve">      { "tool": "ClinicalTrials",  "use": "Optional" }</w:t>
      </w:r>
    </w:p>
    <w:p>
      <w:pPr>
        <w:spacing w:after="0"/>
        <w:ind w:left="432"/>
      </w:pPr>
      <w:r>
        <w:rPr>
          <w:rFonts w:ascii="Consolas" w:hAnsi="Consolas"/>
          <w:sz w:val="17"/>
        </w:rPr>
        <w:t xml:space="preserve">    ] }</w:t>
      </w:r>
    </w:p>
    <w:p>
      <w:pPr>
        <w:spacing w:after="0"/>
        <w:ind w:left="432"/>
      </w:pPr>
      <w:r>
        <w:rPr>
          <w:rFonts w:ascii="Consolas" w:hAnsi="Consolas"/>
          <w:sz w:val="17"/>
        </w:rPr>
        <w:t>]</w:t>
      </w:r>
    </w:p>
    <w:p/>
    <w:p>
      <w:pPr/>
      <w:r>
        <w:t>Three uses, and the third is the one that does the work:</w:t>
      </w:r>
    </w:p>
    <w:tbl>
      <w:tblPr>
        <w:tblStyle w:val="TableGrid"/>
        <w:tblW w:type="auto" w:w="0"/>
        <w:tblLook w:firstColumn="1" w:firstRow="1" w:lastColumn="0" w:lastRow="0" w:noHBand="0" w:noVBand="1" w:val="04A0"/>
      </w:tblPr>
      <w:tblGrid>
        <w:gridCol w:w="4320"/>
        <w:gridCol w:w="4320"/>
      </w:tblGrid>
      <w:tr>
        <w:tc>
          <w:tcPr>
            <w:tcW w:type="dxa" w:w="1584"/>
          </w:tcPr>
          <w:p>
            <w:r/>
            <w:r>
              <w:rPr>
                <w:b/>
                <w:sz w:val="18"/>
              </w:rPr>
              <w:t>Use</w:t>
            </w:r>
          </w:p>
        </w:tc>
        <w:tc>
          <w:tcPr>
            <w:tcW w:type="dxa" w:w="7344"/>
          </w:tcPr>
          <w:p>
            <w:r/>
            <w:r>
              <w:rPr>
                <w:b/>
                <w:sz w:val="18"/>
              </w:rPr>
              <w:t>What it means</w:t>
            </w:r>
          </w:p>
        </w:tc>
      </w:tr>
      <w:tr>
        <w:tc>
          <w:tcPr>
            <w:tcW w:type="dxa" w:w="1584"/>
          </w:tcPr>
          <w:p>
            <w:r/>
            <w:r>
              <w:rPr>
                <w:sz w:val="18"/>
              </w:rPr>
              <w:t>Required</w:t>
            </w:r>
          </w:p>
        </w:tc>
        <w:tc>
          <w:tcPr>
            <w:tcW w:type="dxa" w:w="7344"/>
          </w:tcPr>
          <w:p>
            <w:r/>
            <w:r>
              <w:rPr>
                <w:sz w:val="18"/>
              </w:rPr>
              <w:t>The tool cannot run without it. It refuses, and asks the person for it.</w:t>
            </w:r>
          </w:p>
        </w:tc>
      </w:tr>
      <w:tr>
        <w:tc>
          <w:tcPr>
            <w:tcW w:type="dxa" w:w="1584"/>
          </w:tcPr>
          <w:p>
            <w:r/>
            <w:r>
              <w:rPr>
                <w:sz w:val="18"/>
              </w:rPr>
              <w:t>Optional</w:t>
            </w:r>
          </w:p>
        </w:tc>
        <w:tc>
          <w:tcPr>
            <w:tcW w:type="dxa" w:w="7344"/>
          </w:tcPr>
          <w:p>
            <w:r/>
            <w:r>
              <w:rPr>
                <w:sz w:val="18"/>
              </w:rPr>
              <w:t>The tool uses it when it has it and runs correctly without it. It is never asked for as though it were needed.</w:t>
            </w:r>
          </w:p>
        </w:tc>
      </w:tr>
      <w:tr>
        <w:tc>
          <w:tcPr>
            <w:tcW w:type="dxa" w:w="1584"/>
          </w:tcPr>
          <w:p>
            <w:r/>
            <w:r>
              <w:rPr>
                <w:sz w:val="18"/>
              </w:rPr>
              <w:t>(absent)</w:t>
            </w:r>
          </w:p>
        </w:tc>
        <w:tc>
          <w:tcPr>
            <w:tcW w:type="dxa" w:w="7344"/>
          </w:tcPr>
          <w:p>
            <w:r/>
            <w:r>
              <w:rPr>
                <w:sz w:val="18"/>
              </w:rPr>
              <w:t>A tool that does not appear in a parameter's subscriptions has no business with it. Not registered as excluded, because listing every tool against every parameter is a great deal of record to carry for a fact that reads perfectly well as silence.</w:t>
            </w:r>
          </w:p>
        </w:tc>
      </w:tr>
    </w:tbl>
    <w:p/>
    <w:p>
      <w:pPr/>
      <w:r>
        <w:t>That is the answer to required, excluded and allowed: two are declared and the third is the default. Exclusion needs no entry because a tool reaches a parameter only through a subscription, so a tool that has no subscription to a name cannot see it. The record carries what is true rather than the cross product of every tool against every name, and adding a parameter does not oblige anyone to write twenty-three rows saying it does not apply.</w:t>
      </w:r>
    </w:p>
    <w:p>
      <w:pPr/>
      <w:r>
        <w:t>Two things about the join are worth stating because getting either wrong reintroduces the problem the declaration solves.</w:t>
      </w:r>
    </w:p>
    <w:p>
      <w:pPr>
        <w:pStyle w:val="ListBullet"/>
      </w:pPr>
      <w:r>
        <w:rPr>
          <w:b/>
        </w:rPr>
        <w:t xml:space="preserve">A requirement is per tool and never per page. </w:t>
      </w:r>
      <w:r>
        <w:t>A page carries several tools — a search, a filter, a detail, a selection — and each has its own answer. The detail needs an NPI and the search does not; requiring the detail's parameter of the page would stop the search that must run before any record can be opened.</w:t>
      </w:r>
    </w:p>
    <w:p>
      <w:pPr>
        <w:pStyle w:val="ListBullet"/>
      </w:pPr>
      <w:r>
        <w:rPr>
          <w:b/>
        </w:rPr>
        <w:t xml:space="preserve">A value is per page and never per tool. </w:t>
      </w:r>
      <w:r>
        <w:t>The geography on the care-giver page is not the geography on the facility page, and a person who searched for a cardiologist in California and then went looking for a hospital has not thereby said anything about where the hospital should be. A parameter is addressed as a page and an attribute together; there is no default page, because a default page is the flat model with a longer spelling.</w:t>
      </w:r>
    </w:p>
    <w:p>
      <w:pPr/>
      <w:r>
        <w:t>The consequence is the whole reason for the arrangement. When a search cannot run, nothing anywhere decides what to ask for: the page asks the record which of its declared requirements are not in force, and the router asks the person about exactly those, by name. A parameter made required in the declaration is asked for without a line of code being written for it, and a parameter made optional stops being demanded without one either.</w:t>
      </w:r>
    </w:p>
    <w:p>
      <w:pPr/>
      <w:r>
        <w:t>A value that is present but empty is not in force. An empty string and a missing string are the same absence to the person who did not say it, and treating them differently would produce a search that ran on nothing while believing it had been told something.</w:t>
      </w:r>
    </w:p>
    <w:p>
      <w:pPr>
        <w:pStyle w:val="Heading2"/>
      </w:pPr>
      <w:r>
        <w:t>2.8 One architecture, three times</w:t>
      </w:r>
    </w:p>
    <w:p>
      <w:pPr/>
      <w:r>
        <w:t>There is one architecture here and it is applied three times. A capability is four tools, and the four are the same four whatever is being found: something that searches, something that decides the vocabulary the search runs on, something that opens one record in full, and something that holds what the person picked. Three capabilities, four tools each, twelve tools — and no capability has a shape of its own.</w:t>
      </w:r>
    </w:p>
    <w:p>
      <w:pPr/>
      <w:r>
        <w:t>The four are separate tools rather than one, and that is the parameter model rather than a matter of taste. A requirement is per tool. A detail cannot open without the record's identifier, and a search must run before any record exists to open; one tool holding both would make the detail's requirement a precondition of the search that has to precede it, and the page could never run. There is no list tool anywhere, in any of the three, because a list is what a search returns.</w:t>
      </w:r>
    </w:p>
    <w:tbl>
      <w:tblPr>
        <w:tblStyle w:val="TableGrid"/>
        <w:tblW w:type="auto" w:w="0"/>
        <w:tblLook w:firstColumn="1" w:firstRow="1" w:lastColumn="0" w:lastRow="0" w:noHBand="0" w:noVBand="1" w:val="04A0"/>
      </w:tblPr>
      <w:tblGrid>
        <w:gridCol w:w="2160"/>
        <w:gridCol w:w="2160"/>
        <w:gridCol w:w="2160"/>
        <w:gridCol w:w="2160"/>
      </w:tblGrid>
      <w:tr>
        <w:tc>
          <w:tcPr>
            <w:tcW w:type="dxa" w:w="1224"/>
          </w:tcPr>
          <w:p>
            <w:r/>
            <w:r>
              <w:rPr>
                <w:b/>
                <w:sz w:val="18"/>
              </w:rPr>
            </w:r>
          </w:p>
        </w:tc>
        <w:tc>
          <w:tcPr>
            <w:tcW w:type="dxa" w:w="2520"/>
          </w:tcPr>
          <w:p>
            <w:r/>
            <w:r>
              <w:rPr>
                <w:b/>
                <w:sz w:val="18"/>
              </w:rPr>
              <w:t>Find an individual</w:t>
            </w:r>
          </w:p>
        </w:tc>
        <w:tc>
          <w:tcPr>
            <w:tcW w:type="dxa" w:w="2736"/>
          </w:tcPr>
          <w:p>
            <w:r/>
            <w:r>
              <w:rPr>
                <w:b/>
                <w:sz w:val="18"/>
              </w:rPr>
              <w:t>Find a facility</w:t>
            </w:r>
          </w:p>
        </w:tc>
        <w:tc>
          <w:tcPr>
            <w:tcW w:type="dxa" w:w="2448"/>
          </w:tcPr>
          <w:p>
            <w:r/>
            <w:r>
              <w:rPr>
                <w:b/>
                <w:sz w:val="18"/>
              </w:rPr>
              <w:t>Find a clinical trial</w:t>
            </w:r>
          </w:p>
        </w:tc>
      </w:tr>
      <w:tr>
        <w:tc>
          <w:tcPr>
            <w:tcW w:type="dxa" w:w="1224"/>
          </w:tcPr>
          <w:p>
            <w:r/>
            <w:r>
              <w:rPr>
                <w:sz w:val="18"/>
              </w:rPr>
              <w:t>Search</w:t>
            </w:r>
          </w:p>
        </w:tc>
        <w:tc>
          <w:tcPr>
            <w:tcW w:type="dxa" w:w="2520"/>
          </w:tcPr>
          <w:p>
            <w:r/>
            <w:r>
              <w:rPr>
                <w:sz w:val="18"/>
              </w:rPr>
              <w:t>ProviderSearch</w:t>
              <w:br/>
              <w:t>declared, dispatched inline (C-18)</w:t>
            </w:r>
          </w:p>
        </w:tc>
        <w:tc>
          <w:tcPr>
            <w:tcW w:type="dxa" w:w="2736"/>
          </w:tcPr>
          <w:p>
            <w:r/>
            <w:r>
              <w:rPr>
                <w:sz w:val="18"/>
              </w:rPr>
              <w:t>FacilitySearch</w:t>
              <w:br/>
              <w:t>declared; its tool file is dead (C-18)</w:t>
            </w:r>
          </w:p>
        </w:tc>
        <w:tc>
          <w:tcPr>
            <w:tcW w:type="dxa" w:w="2448"/>
          </w:tcPr>
          <w:p>
            <w:r/>
            <w:r>
              <w:rPr>
                <w:sz w:val="18"/>
              </w:rPr>
              <w:t>ClinicalTrials</w:t>
              <w:br/>
              <w:t>declared and dispatched</w:t>
            </w:r>
          </w:p>
        </w:tc>
      </w:tr>
      <w:tr>
        <w:tc>
          <w:tcPr>
            <w:tcW w:type="dxa" w:w="1224"/>
          </w:tcPr>
          <w:p>
            <w:r/>
            <w:r>
              <w:rPr>
                <w:sz w:val="18"/>
              </w:rPr>
              <w:t>Vocabulary</w:t>
            </w:r>
          </w:p>
        </w:tc>
        <w:tc>
          <w:tcPr>
            <w:tcW w:type="dxa" w:w="2520"/>
          </w:tcPr>
          <w:p>
            <w:r/>
            <w:r>
              <w:rPr>
                <w:sz w:val="18"/>
              </w:rPr>
              <w:t>SpecialtyFilter</w:t>
              <w:br/>
              <w:t>NUCC, Section = Individual</w:t>
            </w:r>
          </w:p>
        </w:tc>
        <w:tc>
          <w:tcPr>
            <w:tcW w:type="dxa" w:w="2736"/>
          </w:tcPr>
          <w:p>
            <w:r/>
            <w:r>
              <w:rPr>
                <w:sz w:val="18"/>
              </w:rPr>
              <w:t>SpecialtyFilter</w:t>
              <w:br/>
              <w:t>NUCC, Section = Non-Individual</w:t>
              <w:br/>
              <w:t>not declared on the page (C-19)</w:t>
            </w:r>
          </w:p>
        </w:tc>
        <w:tc>
          <w:tcPr>
            <w:tcW w:type="dxa" w:w="2448"/>
          </w:tcPr>
          <w:p>
            <w:r/>
            <w:r>
              <w:rPr>
                <w:sz w:val="18"/>
              </w:rPr>
              <w:t>missing</w:t>
              <w:br/>
              <w:t>the condition is mined as free text and</w:t>
              <w:br/>
              <w:t>sent to the registry unresolved (C-21)</w:t>
            </w:r>
          </w:p>
        </w:tc>
      </w:tr>
      <w:tr>
        <w:tc>
          <w:tcPr>
            <w:tcW w:type="dxa" w:w="1224"/>
          </w:tcPr>
          <w:p>
            <w:r/>
            <w:r>
              <w:rPr>
                <w:sz w:val="18"/>
              </w:rPr>
              <w:t>Detail</w:t>
            </w:r>
          </w:p>
        </w:tc>
        <w:tc>
          <w:tcPr>
            <w:tcW w:type="dxa" w:w="2520"/>
          </w:tcPr>
          <w:p>
            <w:r/>
            <w:r>
              <w:rPr>
                <w:sz w:val="18"/>
              </w:rPr>
              <w:t>ProviderDetail</w:t>
              <w:br/>
              <w:t>declared and dispatched</w:t>
            </w:r>
          </w:p>
        </w:tc>
        <w:tc>
          <w:tcPr>
            <w:tcW w:type="dxa" w:w="2736"/>
          </w:tcPr>
          <w:p>
            <w:r/>
            <w:r>
              <w:rPr>
                <w:sz w:val="18"/>
              </w:rPr>
              <w:t>FacilityDetail</w:t>
              <w:br/>
              <w:t>declared and dispatched</w:t>
            </w:r>
          </w:p>
        </w:tc>
        <w:tc>
          <w:tcPr>
            <w:tcW w:type="dxa" w:w="2448"/>
          </w:tcPr>
          <w:p>
            <w:r/>
            <w:r>
              <w:rPr>
                <w:sz w:val="18"/>
              </w:rPr>
              <w:t>missing</w:t>
              <w:br/>
              <w:t>the centre panel is painted from the</w:t>
              <w:br/>
              <w:t>cached search chunk (C-21)</w:t>
            </w:r>
          </w:p>
        </w:tc>
      </w:tr>
      <w:tr>
        <w:tc>
          <w:tcPr>
            <w:tcW w:type="dxa" w:w="1224"/>
          </w:tcPr>
          <w:p>
            <w:r/>
            <w:r>
              <w:rPr>
                <w:sz w:val="18"/>
              </w:rPr>
              <w:t>Selection</w:t>
            </w:r>
          </w:p>
        </w:tc>
        <w:tc>
          <w:tcPr>
            <w:tcW w:type="dxa" w:w="2520"/>
          </w:tcPr>
          <w:p>
            <w:r/>
            <w:r>
              <w:rPr>
                <w:sz w:val="18"/>
              </w:rPr>
              <w:t>ProviderSelection</w:t>
              <w:br/>
              <w:t>declared and dispatched</w:t>
            </w:r>
          </w:p>
        </w:tc>
        <w:tc>
          <w:tcPr>
            <w:tcW w:type="dxa" w:w="2736"/>
          </w:tcPr>
          <w:p>
            <w:r/>
            <w:r>
              <w:rPr>
                <w:sz w:val="18"/>
              </w:rPr>
              <w:t>FacilitySelection</w:t>
              <w:br/>
              <w:t>live, undeclared (C-20)</w:t>
            </w:r>
          </w:p>
        </w:tc>
        <w:tc>
          <w:tcPr>
            <w:tcW w:type="dxa" w:w="2448"/>
          </w:tcPr>
          <w:p>
            <w:r/>
            <w:r>
              <w:rPr>
                <w:sz w:val="18"/>
              </w:rPr>
              <w:t>ClinicalTrialSelection</w:t>
              <w:br/>
              <w:t>live, undeclared (C-20)</w:t>
            </w:r>
          </w:p>
        </w:tc>
      </w:tr>
    </w:tbl>
    <w:p/>
    <w:p>
      <w:pPr/>
      <w:r>
        <w:t>Six of the twelve are right. The other six are wrong in three distinct ways, and each way is worth naming separately because each fails differently.</w:t>
      </w:r>
    </w:p>
    <w:p>
      <w:pPr/>
      <w:r>
        <w:t>Code contradicts this design — a tool that runs and is not written down. sharedServices/Code/FacilitySelection/facility_selection_tool.py and sharedServices/Code/ClinicalTrialSelection/clinical_trial_selection_tool.py are both imported and dispatched, on every selection, and neither appears in ToolConfiguration. This is not untidiness. A tool the record does not name can hold no requirement, because a requirement is a subscription against a tool's name — so an undeclared tool cannot refuse, cannot ask the person for what it needs, and runs on whatever happens to be in force. The mechanism of §2.7 does not fail loudly for such a tool; it does not reach it at all.</w:t>
      </w:r>
    </w:p>
    <w:p>
      <w:pPr/>
      <w:r>
        <w:t>Code contradicts this design — a tool that is written down and does not run. sharedServices/Code/FacilitySearch/facility_search_tool.py is declared, hashed and shipped to the target on every deploy, and nothing imports it. One page carries both failures at once.</w:t>
      </w:r>
    </w:p>
    <w:p>
      <w:pPr/>
      <w:r>
        <w:t>Code contradicts this design — a tool that was never built, and whose work is being done somewhere it does not belong. The clinical-trial capability has no vocabulary tool and no detail tool. Neither absence is a property of clinical trials: the registry has a controlled condition vocabulary exactly as NUCC is a controlled taxonomy, and a trial has a detail — §1.3 shows one on the screen. What is happening instead is that the condition is mined as free text and handed to the registry unresolved, which is the same defect on the trial side that searching the provider catalogue without resolving to it would be on ours; and the detail is painted by the selection widget out of the cached search chunk, so the record shown is whatever the search happened to return rather than the registry's current answer for that trial.</w:t>
      </w:r>
    </w:p>
    <w:p>
      <w:pPr/>
      <w:r>
        <w:rPr>
          <w:b/>
        </w:rPr>
        <w:t>Designed change C-20</w:t>
      </w:r>
      <w:r>
        <w:t xml:space="preserve">  (owner: EPIC-002-F-004 owns the declaration)  Every tool that runs is declared, and every declared tool runs. FacilitySelection and ClinicalTrialSelection are added to the tools list with the server and endpoint they are dispatched on, and to the tool list of the page each serves. A parameter subscription is authored for each, because a selection needs the record it is selecting, so the tools that today run outside the requirement model come inside it. facility_search_tool.py is brought into the dispatch path by C-18 or deleted; it does not stay both on disk and in the record while nothing calls it.</w:t>
      </w:r>
    </w:p>
    <w:p>
      <w:pPr/>
      <w:r>
        <w:rPr>
          <w:b/>
        </w:rPr>
        <w:t>Designed change C-21</w:t>
      </w:r>
      <w:r>
        <w:t xml:space="preserve">  (owner: EPIC-006)  The clinical-trial capability gains the two tools it is missing, so that all three capabilities are the same four. A vocabulary tool resolves the mined condition against the registry's controlled condition terms before the search runs, offering what it resolved to in the panel the other two pages already use — the third partition of one chooser, not a third chooser. A detail tool answers for one trial by its registry identifier, so the record shown is the registry's current answer rather than whatever the search returned earlier in the session; the cached chunk stops being the source of the detail and goes back to being what it is, a cached list.</w:t>
      </w:r>
    </w:p>
    <w:p>
      <w:pPr/>
      <w:r>
        <w:t>This is BUG-011's shape at a smaller scale, and worth naming as such. The record is the only statement of what the architecture is, and it is written by hand. Nothing compares the set of tools the router dispatches against the set the record declares, in either direction, which is how one page came to drift both ways at once with no gate objecting — and nothing compares either set against the four a capability is supposed to have, which is how a capability came to be missing half of itself without that being visible anywhere.</w:t>
      </w:r>
    </w:p>
    <w:p w14:paraId="36D42521" w14:textId="77777777" w:rsidR="00330C1B" w:rsidRDefault="00000000">
      <w:pPr>
        <w:pStyle w:val="Heading1"/>
      </w:pPr>
      <w:r>
        <w:t>3. Business architecture</w:t>
      </w:r>
    </w:p>
    <w:p w14:paraId="03A13FD4" w14:textId="77777777" w:rsidR="00330C1B" w:rsidRDefault="00000000">
      <w:r>
        <w:t>FindCare answers three kinds of question — who can treat me, where can I be treated, and what is being trialled — and holds the answers steady while a person moves between them. The eight features divide into four that produce answers (F-001/F-002 care givers, F-006/F-007 facilities, F-004/F-005 clinical trials), one that resolves meaning (F-003), and one that holds what the person has said (F-008).</w:t>
      </w:r>
    </w:p>
    <w:p w14:paraId="5C1A5D83" w14:textId="77777777" w:rsidR="00330C1B" w:rsidRDefault="00000000">
      <w:pPr>
        <w:pStyle w:val="Heading2"/>
      </w:pPr>
      <w:r>
        <w:t>3.1 The shape every answer takes</w:t>
      </w:r>
    </w:p>
    <w:p w14:paraId="7A825EF3" w14:textId="77777777" w:rsidR="00330C1B" w:rsidRDefault="00000000">
      <w:r>
        <w:t>Three features state the same shape in three places, so the design states it once. A list carries little and is paged; a detail carries everything and is opened from a list; a summary says what the list holds and what the person may do next. F-006's own description binds facilities to the care-giver shape rather than restating it, and EPIC-006-F-007-S-001-REQ-B-001 binds facility detail to provider detail in the same way.</w:t>
      </w:r>
    </w:p>
    <w:tbl>
      <w:tblPr>
        <w:tblStyle w:val="LightGrid-Accent1"/>
        <w:tblW w:w="0" w:type="auto"/>
        <w:tblLook w:val="04A0" w:firstRow="1" w:lastRow="0" w:firstColumn="1" w:lastColumn="0" w:noHBand="0" w:noVBand="1"/>
      </w:tblPr>
      <w:tblGrid>
        <w:gridCol w:w="1795"/>
        <w:gridCol w:w="2035"/>
        <w:gridCol w:w="2180"/>
        <w:gridCol w:w="2846"/>
      </w:tblGrid>
      <w:tr w:rsidR="00330C1B" w14:paraId="6EA9059C" w14:textId="77777777" w:rsidTr="00330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68193D9" w14:textId="77777777" w:rsidR="00330C1B" w:rsidRDefault="00000000">
            <w:r>
              <w:rPr>
                <w:sz w:val="18"/>
              </w:rPr>
              <w:t>Concern</w:t>
            </w:r>
          </w:p>
        </w:tc>
        <w:tc>
          <w:tcPr>
            <w:tcW w:w="2160" w:type="dxa"/>
          </w:tcPr>
          <w:p w14:paraId="6411EA89"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Care giver</w:t>
            </w:r>
          </w:p>
        </w:tc>
        <w:tc>
          <w:tcPr>
            <w:tcW w:w="2304" w:type="dxa"/>
          </w:tcPr>
          <w:p w14:paraId="1E5F699B"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Facility</w:t>
            </w:r>
          </w:p>
        </w:tc>
        <w:tc>
          <w:tcPr>
            <w:tcW w:w="3024" w:type="dxa"/>
          </w:tcPr>
          <w:p w14:paraId="4D631EFF"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Clinical trial</w:t>
            </w:r>
          </w:p>
        </w:tc>
      </w:tr>
      <w:tr w:rsidR="00330C1B" w14:paraId="06668721"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5491DDE" w14:textId="77777777" w:rsidR="00330C1B" w:rsidRDefault="00000000">
            <w:r>
              <w:rPr>
                <w:sz w:val="17"/>
              </w:rPr>
              <w:t>List</w:t>
            </w:r>
          </w:p>
        </w:tc>
        <w:tc>
          <w:tcPr>
            <w:tcW w:w="2160" w:type="dxa"/>
          </w:tcPr>
          <w:p w14:paraId="410BB294"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F-001-S-001</w:t>
            </w:r>
          </w:p>
        </w:tc>
        <w:tc>
          <w:tcPr>
            <w:tcW w:w="2304" w:type="dxa"/>
          </w:tcPr>
          <w:p w14:paraId="78CEA4F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F-006-S-001/S-002</w:t>
            </w:r>
          </w:p>
        </w:tc>
        <w:tc>
          <w:tcPr>
            <w:tcW w:w="3024" w:type="dxa"/>
          </w:tcPr>
          <w:p w14:paraId="2A9A8ED7"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F-005-S-001/S-002</w:t>
            </w:r>
          </w:p>
        </w:tc>
      </w:tr>
      <w:tr w:rsidR="00330C1B" w14:paraId="6740BA7C"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65AB93C" w14:textId="77777777" w:rsidR="00330C1B" w:rsidRDefault="00000000">
            <w:r>
              <w:rPr>
                <w:sz w:val="17"/>
              </w:rPr>
              <w:t>Selection</w:t>
            </w:r>
          </w:p>
        </w:tc>
        <w:tc>
          <w:tcPr>
            <w:tcW w:w="2160" w:type="dxa"/>
          </w:tcPr>
          <w:p w14:paraId="0180E7C6"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F-001-S-002</w:t>
            </w:r>
          </w:p>
        </w:tc>
        <w:tc>
          <w:tcPr>
            <w:tcW w:w="2304" w:type="dxa"/>
          </w:tcPr>
          <w:p w14:paraId="49485A84"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F-006-S-003</w:t>
            </w:r>
          </w:p>
        </w:tc>
        <w:tc>
          <w:tcPr>
            <w:tcW w:w="3024" w:type="dxa"/>
          </w:tcPr>
          <w:p w14:paraId="77C54DA5"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handled by the trial list</w:t>
            </w:r>
          </w:p>
        </w:tc>
      </w:tr>
      <w:tr w:rsidR="00330C1B" w14:paraId="5DBD6E9B"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93F1784" w14:textId="77777777" w:rsidR="00330C1B" w:rsidRDefault="00000000">
            <w:r>
              <w:rPr>
                <w:sz w:val="17"/>
              </w:rPr>
              <w:t>Summary</w:t>
            </w:r>
          </w:p>
        </w:tc>
        <w:tc>
          <w:tcPr>
            <w:tcW w:w="2160" w:type="dxa"/>
          </w:tcPr>
          <w:p w14:paraId="4475EF15"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F-001-S-005</w:t>
            </w:r>
          </w:p>
        </w:tc>
        <w:tc>
          <w:tcPr>
            <w:tcW w:w="2304" w:type="dxa"/>
          </w:tcPr>
          <w:p w14:paraId="7B61C115"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F-006-S-004</w:t>
            </w:r>
          </w:p>
        </w:tc>
        <w:tc>
          <w:tcPr>
            <w:tcW w:w="3024" w:type="dxa"/>
          </w:tcPr>
          <w:p w14:paraId="70393544"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F-005-S-002-REQ-B-008</w:t>
            </w:r>
          </w:p>
        </w:tc>
      </w:tr>
      <w:tr w:rsidR="00330C1B" w14:paraId="2E222046"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74928B8" w14:textId="77777777" w:rsidR="00330C1B" w:rsidRDefault="00000000">
            <w:r>
              <w:rPr>
                <w:sz w:val="17"/>
              </w:rPr>
              <w:t>Detail</w:t>
            </w:r>
          </w:p>
        </w:tc>
        <w:tc>
          <w:tcPr>
            <w:tcW w:w="2160" w:type="dxa"/>
          </w:tcPr>
          <w:p w14:paraId="5CABF0B6"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F-002-S-001</w:t>
            </w:r>
          </w:p>
        </w:tc>
        <w:tc>
          <w:tcPr>
            <w:tcW w:w="2304" w:type="dxa"/>
          </w:tcPr>
          <w:p w14:paraId="4B3E561A"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F-007-S-001/S-002</w:t>
            </w:r>
          </w:p>
        </w:tc>
        <w:tc>
          <w:tcPr>
            <w:tcW w:w="3024" w:type="dxa"/>
          </w:tcPr>
          <w:p w14:paraId="3179F112"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F-004-S-001</w:t>
            </w:r>
          </w:p>
        </w:tc>
      </w:tr>
      <w:tr w:rsidR="00330C1B" w14:paraId="71852516"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E3CE402" w14:textId="77777777" w:rsidR="00330C1B" w:rsidRDefault="00000000">
            <w:r>
              <w:rPr>
                <w:sz w:val="17"/>
              </w:rPr>
              <w:t>Record upkeep</w:t>
            </w:r>
          </w:p>
        </w:tc>
        <w:tc>
          <w:tcPr>
            <w:tcW w:w="2160" w:type="dxa"/>
          </w:tcPr>
          <w:p w14:paraId="310424F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F-002-S-002</w:t>
            </w:r>
          </w:p>
        </w:tc>
        <w:tc>
          <w:tcPr>
            <w:tcW w:w="2304" w:type="dxa"/>
          </w:tcPr>
          <w:p w14:paraId="070B553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F-007-S-003</w:t>
            </w:r>
          </w:p>
        </w:tc>
        <w:tc>
          <w:tcPr>
            <w:tcW w:w="3024" w:type="dxa"/>
          </w:tcPr>
          <w:p w14:paraId="58D153B5"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not held; the registry is read live</w:t>
            </w:r>
          </w:p>
        </w:tc>
      </w:tr>
    </w:tbl>
    <w:p w14:paraId="1BECB122" w14:textId="77777777" w:rsidR="00330C1B" w:rsidRDefault="00000000">
      <w:r>
        <w:t>One consequence carries through the whole design: a list row and a detail panel are different contracts on the same record. The row is a fixed, small projection; the detail is the record. Where a requirement fixes the row exactly — EPIC-006-F-006-S-002-REQ-B-007 names five things "and nothing else" — the projection is the enforcement point, not the renderer.</w:t>
      </w:r>
    </w:p>
    <w:p w14:paraId="62542DCE" w14:textId="77777777" w:rsidR="00330C1B" w:rsidRDefault="00000000">
      <w:pPr>
        <w:pStyle w:val="Heading2"/>
      </w:pPr>
      <w:r>
        <w:t>3.2 F-001 — Manage Front End Provider List</w:t>
      </w:r>
    </w:p>
    <w:p w14:paraId="526E2A7A" w14:textId="77777777" w:rsidR="00330C1B" w:rsidRDefault="00000000">
      <w:pPr>
        <w:pStyle w:val="Heading3"/>
      </w:pPr>
      <w:r>
        <w:t>3.2.1 Turning what a person said into a query</w:t>
      </w:r>
    </w:p>
    <w:p w14:paraId="676060B6" w14:textId="77777777" w:rsidR="00330C1B" w:rsidRDefault="00000000">
      <w:pPr>
        <w:spacing w:before="80"/>
        <w:ind w:left="432"/>
      </w:pPr>
      <w:r>
        <w:rPr>
          <w:b/>
          <w:sz w:val="19"/>
        </w:rPr>
        <w:t xml:space="preserve">EPIC-006-F-001-S-001-REQ-B-001  </w:t>
      </w:r>
      <w:r>
        <w:rPr>
          <w:i/>
          <w:sz w:val="19"/>
        </w:rPr>
        <w:t>"User can search by free text"</w:t>
      </w:r>
    </w:p>
    <w:p w14:paraId="776B1083" w14:textId="77777777" w:rsidR="00330C1B" w:rsidRDefault="00000000">
      <w:pPr>
        <w:spacing w:before="80"/>
        <w:ind w:left="432"/>
      </w:pPr>
      <w:r>
        <w:rPr>
          <w:b/>
          <w:sz w:val="19"/>
        </w:rPr>
        <w:t xml:space="preserve">EPIC-006-F-001-S-001-REQ-B-004  </w:t>
      </w:r>
      <w:r>
        <w:rPr>
          <w:i/>
          <w:sz w:val="19"/>
        </w:rPr>
        <w:t>"System identifies matching specialty types from search query"</w:t>
      </w:r>
    </w:p>
    <w:p w14:paraId="61656F18" w14:textId="77777777" w:rsidR="00330C1B" w:rsidRDefault="00000000">
      <w:r>
        <w:t>Free text never reaches the provider query. The utterance manager (UtteranceManagerTool, sharedServices/Code/UtteranceManager/utterance_manager.py) classifies the utterance into an IntentDocument and writes the geography and the complaint as parameters. The complaint — the clinical concept, not the person's words — is handed to the specialty filter (§3.4), which returns NUCC codes. The codes and the geography are the query. B-004 is met by the specialty filter and by nothing in the provider search: the provider search is given codes and does not identify them.</w:t>
      </w:r>
    </w:p>
    <w:p w14:paraId="0B63CF27" w14:textId="77777777" w:rsidR="00330C1B" w:rsidRDefault="00000000">
      <w:pPr>
        <w:pStyle w:val="Heading3"/>
      </w:pPr>
      <w:r>
        <w:t>3.2.2 The query and what a row carries</w:t>
      </w:r>
    </w:p>
    <w:p w14:paraId="0F0EC012" w14:textId="77777777" w:rsidR="00330C1B" w:rsidRDefault="00000000">
      <w:pPr>
        <w:spacing w:before="80"/>
        <w:ind w:left="432"/>
      </w:pPr>
      <w:r>
        <w:rPr>
          <w:b/>
          <w:sz w:val="19"/>
        </w:rPr>
        <w:t xml:space="preserve">EPIC-006-F-001-S-001-REQ-B-002  </w:t>
      </w:r>
      <w:r>
        <w:rPr>
          <w:i/>
          <w:sz w:val="19"/>
        </w:rPr>
        <w:t>"System returns provider name, NPI, address, county, phone"</w:t>
      </w:r>
    </w:p>
    <w:p w14:paraId="43EB2F28" w14:textId="77777777" w:rsidR="00330C1B" w:rsidRDefault="00000000">
      <w:r>
        <w:t xml:space="preserve">FindCareService.search_providers in FindCare/ProviderManagement/provider_search_service.py builds one Mongo filter from the parameters in force and runs it against the collection bound to the </w:t>
      </w:r>
      <w:r>
        <w:t>PROVIDER_COLLECTION slot (§4.4). The filter is assembled from named clauses, each reading one parameter:</w:t>
      </w:r>
    </w:p>
    <w:p w14:paraId="307CE959" w14:textId="77777777" w:rsidR="00330C1B" w:rsidRDefault="00000000">
      <w:pPr>
        <w:pStyle w:val="ListBullet"/>
      </w:pPr>
      <w:r>
        <w:t>_practice_address_filter — geography, most specific wins: zip, then state+county, then state+city, then state. It emits an $elemMatch against practice_addresses, so a business address can never place a provider in a geography.</w:t>
      </w:r>
    </w:p>
    <w:p w14:paraId="4310D0AD" w14:textId="77777777" w:rsidR="00330C1B" w:rsidRDefault="00000000">
      <w:pPr>
        <w:pStyle w:val="ListBullet"/>
      </w:pPr>
      <w:r>
        <w:t>_county_clause — expands a bare county name into every kind-word form the registry writes.</w:t>
      </w:r>
    </w:p>
    <w:p w14:paraId="7722526A" w14:textId="77777777" w:rsidR="00330C1B" w:rsidRDefault="00000000">
      <w:pPr>
        <w:pStyle w:val="ListBullet"/>
      </w:pPr>
      <w:r>
        <w:t>_name_filter — a named provider, matched on the uppercased last name with first and middle matching either the name or the bare initial.</w:t>
      </w:r>
    </w:p>
    <w:p w14:paraId="7AC096FA" w14:textId="77777777" w:rsidR="00330C1B" w:rsidRDefault="00000000">
      <w:pPr>
        <w:pStyle w:val="ListBullet"/>
      </w:pPr>
      <w:r>
        <w:t>_preference_filter — provider sex, sole-proprietor standing, and payer identifier.</w:t>
      </w:r>
    </w:p>
    <w:p w14:paraId="496CF95E" w14:textId="77777777" w:rsidR="00330C1B" w:rsidRDefault="00000000">
      <w:pPr>
        <w:pStyle w:val="ListBullet"/>
      </w:pPr>
      <w:r>
        <w:t>_searchable — the entity-type and active-state clause. Today it forces entity_type_code="1". §3.7 replaces that constant with the page's entity type.</w:t>
      </w:r>
    </w:p>
    <w:p w14:paraId="74A7716C" w14:textId="77777777" w:rsidR="00330C1B" w:rsidRDefault="00000000">
      <w:r>
        <w:t>_format_provider projects the row: name assembled from prefix, first, middle, legal last name, suffix and credential; the primary practice address; the county from that address's enrichment; and the telephone. B-002 is met by that projection and the fields are exactly the five named.</w:t>
      </w:r>
    </w:p>
    <w:p w14:paraId="56B73A1D" w14:textId="77777777" w:rsidR="00330C1B" w:rsidRDefault="00000000">
      <w:pPr>
        <w:pStyle w:val="Heading3"/>
      </w:pPr>
      <w:r>
        <w:t>3.2.3 Showing the specialty the person chose</w:t>
      </w:r>
    </w:p>
    <w:p w14:paraId="4E3D4A5E" w14:textId="77777777" w:rsidR="00330C1B" w:rsidRDefault="00000000">
      <w:pPr>
        <w:spacing w:before="80"/>
        <w:ind w:left="432"/>
      </w:pPr>
      <w:r>
        <w:rPr>
          <w:b/>
          <w:sz w:val="19"/>
        </w:rPr>
        <w:t xml:space="preserve">EPIC-006-F-001-S-004-REQ-B-001  </w:t>
      </w:r>
      <w:r>
        <w:rPr>
          <w:i/>
          <w:sz w:val="19"/>
        </w:rPr>
        <w:t>"The specialty shown for a provider MUST be the specialty the user chose in the filter, not another specialty that provider holds."</w:t>
      </w:r>
    </w:p>
    <w:p w14:paraId="205ADE34" w14:textId="77777777" w:rsidR="00330C1B" w:rsidRDefault="00000000">
      <w:r>
        <w:t>A provider holds several taxonomies and the query admitted them on the intersection of their taxonomy set with the chosen codes. The row therefore carries the chosen code that admitted this provider, computed in _format_provider as the first of the provider's taxonomies that is present in selected_specialty_codes, and labelled from the specialty catalogue the filter already returned. The label is resolved server-side because the server holds both the provider's taxonomies and the chosen set; the client holds only one of them.</w:t>
      </w:r>
    </w:p>
    <w:p w14:paraId="590B3380" w14:textId="77777777" w:rsidR="00330C1B" w:rsidRDefault="00000000">
      <w:pPr>
        <w:ind w:left="432"/>
      </w:pPr>
      <w:r>
        <w:rPr>
          <w:b/>
          <w:color w:val="990000"/>
        </w:rPr>
        <w:t xml:space="preserve">Code contradicts this design: </w:t>
      </w:r>
      <w:r>
        <w:rPr>
          <w:color w:val="990000"/>
        </w:rPr>
        <w:t>ProviderResultsWidget.tsx resolves the label client-side through a fallback chain ending in a lookup of the provider's own taxonomy_code against the filter catalogue, which yields a specialty the provider holds rather than the one chosen.</w:t>
      </w:r>
    </w:p>
    <w:p w14:paraId="1DC3A1B3" w14:textId="77777777" w:rsidR="00330C1B" w:rsidRDefault="00000000">
      <w:pPr>
        <w:ind w:left="432"/>
      </w:pPr>
      <w:r>
        <w:rPr>
          <w:b/>
          <w:color w:val="005500"/>
        </w:rPr>
        <w:t>Designed change C-02</w:t>
      </w:r>
      <w:r>
        <w:rPr>
          <w:color w:val="005500"/>
          <w:sz w:val="18"/>
        </w:rPr>
        <w:t xml:space="preserve">  (owner: EPIC-006)  </w:t>
      </w:r>
      <w:r>
        <w:rPr>
          <w:color w:val="005500"/>
        </w:rPr>
        <w:t>_format_provider gains two row fields, matched_specialty_code and matched_specialty_label. The code is the first of the provider's taxonomies present in the chosen set, computed where the chosen set is already in scope; the label comes from the taxonomy-name cache the service already holds. _PROJECTION gains taxonomies so the intersection has something to run against. ProviderResultsWidget.tsx renders matched_specialty_label and its fallback chain is deleted, so the client holds no rule about which specialty is shown.</w:t>
      </w:r>
    </w:p>
    <w:p w14:paraId="751F0E97" w14:textId="77777777" w:rsidR="00330C1B" w:rsidRDefault="00000000">
      <w:pPr>
        <w:pStyle w:val="Heading3"/>
      </w:pPr>
      <w:r>
        <w:t>3.2.4 Evidence that the search is running</w:t>
      </w:r>
    </w:p>
    <w:p w14:paraId="437FAA65" w14:textId="77777777" w:rsidR="00330C1B" w:rsidRDefault="00000000">
      <w:pPr>
        <w:spacing w:before="80"/>
        <w:ind w:left="432"/>
      </w:pPr>
      <w:r>
        <w:rPr>
          <w:b/>
          <w:sz w:val="19"/>
        </w:rPr>
        <w:t xml:space="preserve">EPIC-006-F-001-S-001-REQ-B-006  </w:t>
      </w:r>
      <w:r>
        <w:rPr>
          <w:i/>
          <w:sz w:val="19"/>
        </w:rPr>
        <w:t>"From the moment a user submits a search until results or an error are shown, the user MUST see continuously advancing evidence that the search is running. It MUST NOT stall, freeze or reset at any point in between."</w:t>
      </w:r>
    </w:p>
    <w:p w14:paraId="13B8C221" w14:textId="77777777" w:rsidR="00330C1B" w:rsidRDefault="00000000">
      <w:r>
        <w:t xml:space="preserve">One timer, started once, owned by one component. NewQueryLoadingWidget.tsx starts ticking on user:submit and stops on router:final or router:error — the two events that end a turn whatever happened inside it. Because the turn may dispatch the specialty filter and then the provider search </w:t>
      </w:r>
      <w:r>
        <w:t>as separate hops, a per-hop timer would reset between them; the requirement forbids that, so the timer is bound to the turn and not to the hop. ProviderResultsWidget's own searching indicator paints inside the results region and reads the same elapsed count rather than keeping a second one.</w:t>
      </w:r>
    </w:p>
    <w:p w14:paraId="31FC32DF" w14:textId="77777777" w:rsidR="00330C1B" w:rsidRDefault="00000000">
      <w:pPr>
        <w:pStyle w:val="Heading3"/>
      </w:pPr>
      <w:r>
        <w:t>3.2.5 Selection</w:t>
      </w:r>
    </w:p>
    <w:p w14:paraId="33386868" w14:textId="77777777" w:rsidR="00330C1B" w:rsidRDefault="00000000">
      <w:pPr>
        <w:spacing w:before="80"/>
        <w:ind w:left="432"/>
      </w:pPr>
      <w:r>
        <w:rPr>
          <w:b/>
          <w:sz w:val="19"/>
        </w:rPr>
        <w:t xml:space="preserve">EPIC-006-F-001-S-002-REQ-B-016  </w:t>
      </w:r>
      <w:r>
        <w:rPr>
          <w:i/>
          <w:sz w:val="19"/>
        </w:rPr>
        <w:t>"A user MUST be able to select any provider in the results for evaluation."</w:t>
      </w:r>
    </w:p>
    <w:p w14:paraId="160A3DFE" w14:textId="77777777" w:rsidR="00330C1B" w:rsidRDefault="00000000">
      <w:pPr>
        <w:spacing w:before="80"/>
        <w:ind w:left="432"/>
      </w:pPr>
      <w:r>
        <w:rPr>
          <w:b/>
          <w:sz w:val="19"/>
        </w:rPr>
        <w:t xml:space="preserve">EPIC-006-F-001-S-002-REQ-B-017  </w:t>
      </w:r>
      <w:r>
        <w:rPr>
          <w:i/>
          <w:sz w:val="19"/>
        </w:rPr>
        <w:t>"A user MUST be able to remove any provider from their selection."</w:t>
      </w:r>
    </w:p>
    <w:p w14:paraId="21F8F571" w14:textId="77777777" w:rsidR="00330C1B" w:rsidRDefault="00000000">
      <w:pPr>
        <w:spacing w:before="80"/>
        <w:ind w:left="432"/>
      </w:pPr>
      <w:r>
        <w:rPr>
          <w:b/>
          <w:sz w:val="19"/>
        </w:rPr>
        <w:t xml:space="preserve">EPIC-006-F-001-S-002-REQ-B-018  </w:t>
      </w:r>
      <w:r>
        <w:rPr>
          <w:i/>
          <w:sz w:val="19"/>
        </w:rPr>
        <w:t>"A provider a user has selected MUST remain selected until that user removes it or clears the selection."</w:t>
      </w:r>
    </w:p>
    <w:p w14:paraId="66ECC46B" w14:textId="77777777" w:rsidR="00330C1B" w:rsidRDefault="00000000">
      <w:r>
        <w:t>Selection is server state. ProviderSelectionTool (sharedServices/Code/ProviderSelection/provider_selection_tool.py) is the only writer, with verbs select, deselect and list, reached through the gateway op provider_selection. The set lives on the session object and is persisted with it to Users.sessions (§4.4), which is what makes B-018 true across a page reload and across a move to another list: nothing in the browser holds the selection, so nothing in the browser can lose it. What is done with a selection is EPIC-001's and is not stated here.</w:t>
      </w:r>
    </w:p>
    <w:p w14:paraId="24382AF1" w14:textId="77777777" w:rsidR="00330C1B" w:rsidRDefault="00000000">
      <w:pPr>
        <w:spacing w:before="80"/>
        <w:ind w:left="432"/>
      </w:pPr>
      <w:r>
        <w:rPr>
          <w:b/>
          <w:sz w:val="19"/>
        </w:rPr>
        <w:t xml:space="preserve">EPIC-006-F-001-S-002-REQ-B-019  </w:t>
      </w:r>
      <w:r>
        <w:rPr>
          <w:i/>
          <w:sz w:val="19"/>
        </w:rPr>
        <w:t>"A selected provider that the specialty filter in force excludes MUST be shown to the user as excluded by it."</w:t>
      </w:r>
    </w:p>
    <w:p w14:paraId="19D432E0" w14:textId="77777777" w:rsidR="00330C1B" w:rsidRDefault="00000000">
      <w:r>
        <w:t>The selected set and the chosen specialty codes are both parameters, so the exclusion is computable without a query: a selected provider is excluded when none of its taxonomies is in selected_specialty_codes. The server computes the flag when it emits the selection broadcast, because only the server holds the selected provider's full taxonomy list. The selected strip renders the flagged row as excluded and keeps it — the requirement says shown as excluded, not removed, and a filter that silently drops a person's own choice is the failure this requirement exists to prevent.</w:t>
      </w:r>
    </w:p>
    <w:p w14:paraId="7CB06E3F" w14:textId="77777777" w:rsidR="00330C1B" w:rsidRDefault="00000000">
      <w:pPr>
        <w:ind w:left="432"/>
      </w:pPr>
      <w:r>
        <w:rPr>
          <w:b/>
          <w:color w:val="990000"/>
        </w:rPr>
        <w:t xml:space="preserve">Code contradicts this design: </w:t>
      </w:r>
      <w:r>
        <w:rPr>
          <w:color w:val="990000"/>
        </w:rPr>
        <w:t>The mounted SelectedProvidersWidget.tsx has no excluded state. The capability exists only in FindCare/ProviderManagement/ProviderCard.tsx and SelectionManager.tsx, which nothing imports.</w:t>
      </w:r>
    </w:p>
    <w:p w14:paraId="178273E8" w14:textId="77777777" w:rsidR="00330C1B" w:rsidRDefault="00000000">
      <w:pPr>
        <w:ind w:left="432"/>
      </w:pPr>
      <w:r>
        <w:rPr>
          <w:b/>
          <w:color w:val="005500"/>
        </w:rPr>
        <w:t>Designed change C-03</w:t>
      </w:r>
      <w:r>
        <w:rPr>
          <w:color w:val="005500"/>
          <w:sz w:val="18"/>
        </w:rPr>
        <w:t xml:space="preserve">  (owner: EPIC-006)  </w:t>
      </w:r>
      <w:r>
        <w:rPr>
          <w:color w:val="005500"/>
        </w:rPr>
        <w:t>ProviderSelectionTool's list response gains excluded_by_filter per selected NPI, computed server-side as the emptiness of the intersection between that provider's taxonomies and the individualProvider page's chosen codes. SelectedProvidersWidget.tsx renders the flagged row in its excluded state and keeps it in the strip. The four unmounted files under FindCare/ProviderManagement — ProviderCard.tsx, SelectionManager.tsx, useSelectionState.ts and provider.ts — are deleted rather than mounted: they carry a second selection reducer with its own maximum, and two selection models is the condition this change exists to end.</w:t>
      </w:r>
    </w:p>
    <w:p w14:paraId="02A53911" w14:textId="77777777" w:rsidR="00330C1B" w:rsidRDefault="00000000">
      <w:pPr>
        <w:pStyle w:val="Heading3"/>
      </w:pPr>
      <w:r>
        <w:t>3.2.6 The summary</w:t>
      </w:r>
    </w:p>
    <w:p w14:paraId="178AF3FB" w14:textId="77777777" w:rsidR="00330C1B" w:rsidRDefault="00000000">
      <w:r>
        <w:t>The summary is built by code from the structured result, never written by a model. FindCareService._build_summary_message is the single construction site and is called from _paginated_result, so every result carries one.</w:t>
      </w:r>
    </w:p>
    <w:p w14:paraId="48BE9D82" w14:textId="77777777" w:rsidR="00330C1B" w:rsidRDefault="00000000">
      <w:pPr>
        <w:spacing w:before="80"/>
        <w:ind w:left="432"/>
      </w:pPr>
      <w:r>
        <w:rPr>
          <w:b/>
          <w:sz w:val="19"/>
        </w:rPr>
        <w:t xml:space="preserve">EPIC-006-F-001-S-005-REQ-B-001  </w:t>
      </w:r>
      <w:r>
        <w:rPr>
          <w:i/>
          <w:sz w:val="19"/>
        </w:rPr>
        <w:t>"The summary MUST name what the user searched for in the user's own words, not in a generic noun."</w:t>
      </w:r>
    </w:p>
    <w:p w14:paraId="53AD4CFB" w14:textId="77777777" w:rsidR="00330C1B" w:rsidRDefault="00000000">
      <w:r>
        <w:t>The search term carried into the summary is the person's own phrase for what they were looking for — "bone docs", "shrinks" — held as its own attribute on the individualProvider page and written by the utterance manager, which is the component that reads the utterance. It is not the NUCC display name the filter resolved the request to, and it is not the complaint: the complaint is by definition the translation and never the words the person used, so neither of the two values the normalise step already produces can satisfy this requirement. Nothing re-reads the utterance to obtain it; see C-22.</w:t>
      </w:r>
    </w:p>
    <w:p w14:paraId="3A6F2156" w14:textId="77777777" w:rsidR="00330C1B" w:rsidRDefault="00000000">
      <w:pPr>
        <w:spacing w:before="80"/>
        <w:ind w:left="432"/>
      </w:pPr>
      <w:r>
        <w:rPr>
          <w:b/>
          <w:sz w:val="19"/>
        </w:rPr>
        <w:t xml:space="preserve">EPIC-006-F-001-S-005-REQ-B-002  </w:t>
      </w:r>
      <w:r>
        <w:rPr>
          <w:i/>
          <w:sz w:val="19"/>
        </w:rPr>
        <w:t>"The summary MUST state how many providers matched beyond those on screen."</w:t>
      </w:r>
    </w:p>
    <w:p w14:paraId="545EA626" w14:textId="77777777" w:rsidR="00330C1B" w:rsidRDefault="00000000">
      <w:pPr>
        <w:spacing w:before="80"/>
        <w:ind w:left="432"/>
      </w:pPr>
      <w:r>
        <w:rPr>
          <w:b/>
          <w:sz w:val="19"/>
        </w:rPr>
        <w:t xml:space="preserve">EPIC-006-F-001-S-005-REQ-B-003  </w:t>
      </w:r>
      <w:r>
        <w:rPr>
          <w:i/>
          <w:sz w:val="19"/>
        </w:rPr>
        <w:t>"The summary MUST state how many kinds of provider the results represent."</w:t>
      </w:r>
    </w:p>
    <w:p w14:paraId="4E18EBB3" w14:textId="77777777" w:rsidR="00330C1B" w:rsidRDefault="00000000">
      <w:r>
        <w:t>Both counts come from the same aggregation as the page. _facet_query returns the total for the filter alongside the page in one $facet, so the remainder is the total less the page count and needs no second query. The kind count is the length of the specialisation set the filter offered.</w:t>
      </w:r>
    </w:p>
    <w:p w14:paraId="2D172172" w14:textId="77777777" w:rsidR="00330C1B" w:rsidRDefault="00000000">
      <w:pPr>
        <w:spacing w:before="80"/>
        <w:ind w:left="432"/>
      </w:pPr>
      <w:r>
        <w:rPr>
          <w:b/>
          <w:sz w:val="19"/>
        </w:rPr>
        <w:t xml:space="preserve">EPIC-006-F-001-S-005-REQ-B-006  </w:t>
      </w:r>
      <w:r>
        <w:rPr>
          <w:i/>
          <w:sz w:val="19"/>
        </w:rPr>
        <w:t>"The summary must include the state in the message (e.g., "in 'VA'") when the user specified a state."</w:t>
      </w:r>
    </w:p>
    <w:p w14:paraId="6B6AF012" w14:textId="77777777" w:rsidR="00330C1B" w:rsidRDefault="00000000">
      <w:pPr>
        <w:spacing w:before="80"/>
        <w:ind w:left="432"/>
      </w:pPr>
      <w:r>
        <w:rPr>
          <w:b/>
          <w:sz w:val="19"/>
        </w:rPr>
        <w:t xml:space="preserve">EPIC-006-F-001-S-005-REQ-B-008  </w:t>
      </w:r>
      <w:r>
        <w:rPr>
          <w:i/>
          <w:sz w:val="19"/>
        </w:rPr>
        <w:t>"The summary must offer location narrowing options (zipcode, county, city) but omit the dimension the user already specified."</w:t>
      </w:r>
    </w:p>
    <w:p w14:paraId="0088E4B2" w14:textId="77777777" w:rsidR="00330C1B" w:rsidRDefault="00000000">
      <w:r>
        <w:t>Both read the geography parameter. The state clause is emitted when geography.state is set. The narrowing offer is the three dimensions less those the geography already carries — each of city, county and zip is offered only when its own field is empty.</w:t>
      </w:r>
    </w:p>
    <w:p w14:paraId="1EBA2169" w14:textId="77777777" w:rsidR="00330C1B" w:rsidRDefault="00000000">
      <w:pPr>
        <w:ind w:left="432"/>
      </w:pPr>
      <w:r>
        <w:rPr>
          <w:b/>
          <w:color w:val="990000"/>
        </w:rPr>
        <w:t xml:space="preserve">Code contradicts this design: </w:t>
      </w:r>
      <w:r>
        <w:rPr>
          <w:color w:val="990000"/>
        </w:rPr>
        <w:t>_build_summary_message omits city and county when they are supplied but appends "zipcode" unconditionally, so a person who searched by postal code is offered the postal code back. EPIC-006-F-006-S-004-REQ-B-004 records this same defect as the care-giver analogue of the facility requirement.</w:t>
      </w:r>
    </w:p>
    <w:p w14:paraId="65A07B15" w14:textId="77777777" w:rsidR="00330C1B" w:rsidRDefault="00000000">
      <w:pPr>
        <w:ind w:left="432"/>
      </w:pPr>
      <w:r>
        <w:rPr>
          <w:b/>
          <w:color w:val="005500"/>
        </w:rPr>
        <w:t>Designed change C-04</w:t>
      </w:r>
      <w:r>
        <w:rPr>
          <w:color w:val="005500"/>
          <w:sz w:val="18"/>
        </w:rPr>
        <w:t xml:space="preserve">  (owner: EPIC-006)  </w:t>
      </w:r>
      <w:r>
        <w:rPr>
          <w:color w:val="005500"/>
        </w:rPr>
        <w:t>The unconditional append in _build_summary_message becomes conditional on the same test the other two dimensions already use, and zip joins state, city and county in the keyword arguments the method reads. All three dimensions are then gated identically on their own geography field, which is what lets one implementation serve both the care-giver requirement and the facility requirement it is shared with.</w:t>
      </w:r>
    </w:p>
    <w:p w14:paraId="589EB3F9" w14:textId="77777777" w:rsidR="00330C1B" w:rsidRDefault="00000000">
      <w:pPr>
        <w:spacing w:before="80"/>
        <w:ind w:left="432"/>
      </w:pPr>
      <w:r>
        <w:rPr>
          <w:b/>
          <w:sz w:val="19"/>
        </w:rPr>
        <w:t xml:space="preserve">EPIC-006-F-001-S-005-REQ-B-009  </w:t>
      </w:r>
      <w:r>
        <w:rPr>
          <w:i/>
          <w:sz w:val="19"/>
        </w:rPr>
        <w:t>"The summary MUST be shown to the user together with the results it describes."</w:t>
      </w:r>
    </w:p>
    <w:p w14:paraId="5B6B49CC" w14:textId="77777777" w:rsidR="00330C1B" w:rsidRDefault="00000000">
      <w:r>
        <w:t>The summary travels on the same result envelope as the rows and is painted in the same repaint. It is one field of the provider-search response, carried unchanged through the search tool to the gateway and into the providers broadcast, so there is no path on which rows arrive and the summary does not.</w:t>
      </w:r>
    </w:p>
    <w:p w14:paraId="3DFAF7FE" w14:textId="77777777" w:rsidR="00330C1B" w:rsidRDefault="00000000">
      <w:pPr>
        <w:ind w:left="432"/>
      </w:pPr>
      <w:r>
        <w:rPr>
          <w:b/>
          <w:color w:val="990000"/>
        </w:rPr>
        <w:t xml:space="preserve">Code contradicts this design: </w:t>
      </w:r>
      <w:r>
        <w:rPr>
          <w:color w:val="990000"/>
        </w:rPr>
        <w:t>ProviderSearchTool.Response in sharedServices/Code/AuthorizationsAndAuthentications/provider_search_tool.py declares no summary_message field. /search builds the summary and the tool drops it, so on the gateway path — the only path the client uses — none of the six F-001-S-005 requirements can be observed. The field only survives on the legacy /chat route.</w:t>
      </w:r>
    </w:p>
    <w:p w14:paraId="60089FCA" w14:textId="77777777" w:rsidR="00330C1B" w:rsidRDefault="00000000">
      <w:pPr>
        <w:ind w:left="432"/>
      </w:pPr>
      <w:r>
        <w:rPr>
          <w:b/>
          <w:color w:val="005500"/>
        </w:rPr>
        <w:t>Designed change C-05</w:t>
      </w:r>
      <w:r>
        <w:rPr>
          <w:color w:val="005500"/>
          <w:sz w:val="18"/>
        </w:rPr>
        <w:t xml:space="preserve">  (owner: EPIC-002-F-004 owns the tool and the router; the field is a FindCare contract)  </w:t>
      </w:r>
      <w:r>
        <w:rPr>
          <w:color w:val="005500"/>
        </w:rPr>
        <w:t>ProviderSearchTool.Response gains summary_message: Optional[str], populated from the same key of the /search body the tool already parses for providers, total_count and refinements — the value is in the response it receives and is discarded only because no field declares it. UniversalNavigationTool carries it into the providers broadcast from _handle_apply_filter, _handle_refine_search and _handle_provider_page, beside the rows it already carries, so the summary and the rows travel in one envelope and paint in one repaint. Nothing on the client composes it.</w:t>
      </w:r>
    </w:p>
    <w:p w14:paraId="45E70464" w14:textId="77777777" w:rsidR="00330C1B" w:rsidRDefault="00000000">
      <w:pPr>
        <w:pStyle w:val="Heading3"/>
      </w:pPr>
      <w:r>
        <w:t>3.2.7 One way in</w:t>
      </w:r>
    </w:p>
    <w:p w14:paraId="4AA03B68" w14:textId="77777777" w:rsidR="00330C1B" w:rsidRDefault="00000000">
      <w:pPr>
        <w:spacing w:before="80"/>
        <w:ind w:left="432"/>
      </w:pPr>
      <w:r>
        <w:rPr>
          <w:b/>
          <w:sz w:val="19"/>
        </w:rPr>
        <w:t xml:space="preserve">EPIC-006-F-001-S-003-REQ-B-004  </w:t>
      </w:r>
      <w:r>
        <w:rPr>
          <w:i/>
          <w:sz w:val="19"/>
        </w:rPr>
        <w:t>"Every request FindCare receives MUST arrive through the one approved gateway for the environment it is running in. A request reaching any FindCare surface by any other route MUST be refused."</w:t>
      </w:r>
    </w:p>
    <w:p w14:paraId="0013DEC6" w14:textId="77777777" w:rsidR="00330C1B" w:rsidRDefault="00000000">
      <w:r>
        <w:t>Designed in §5.2, where the gateway, the network surface and the refusal mechanism are one subject.</w:t>
      </w:r>
    </w:p>
    <w:p w14:paraId="15560B2E" w14:textId="77777777" w:rsidR="00330C1B" w:rsidRDefault="00000000">
      <w:pPr>
        <w:pStyle w:val="Heading2"/>
      </w:pPr>
      <w:r>
        <w:t>3.3 F-002 — Manage Front End Provider Detail</w:t>
      </w:r>
    </w:p>
    <w:p w14:paraId="20F78E80" w14:textId="77777777" w:rsidR="00330C1B" w:rsidRDefault="00000000">
      <w:pPr>
        <w:pStyle w:val="Heading3"/>
      </w:pPr>
      <w:r>
        <w:t>3.3.1 What a detail shows</w:t>
      </w:r>
    </w:p>
    <w:p w14:paraId="54227AC4" w14:textId="77777777" w:rsidR="00330C1B" w:rsidRDefault="00000000">
      <w:pPr>
        <w:spacing w:before="80"/>
        <w:ind w:left="432"/>
      </w:pPr>
      <w:r>
        <w:rPr>
          <w:b/>
          <w:sz w:val="19"/>
        </w:rPr>
        <w:t xml:space="preserve">EPIC-006-F-002-S-001-REQ-B-001  </w:t>
      </w:r>
      <w:r>
        <w:rPr>
          <w:i/>
          <w:sz w:val="19"/>
        </w:rPr>
        <w:t>"Every Provider Detail MUST show the values held for the clicked NPI at the moment it is shown."</w:t>
      </w:r>
    </w:p>
    <w:p w14:paraId="49CC96A8" w14:textId="77777777" w:rsidR="00330C1B" w:rsidRDefault="00000000">
      <w:r>
        <w:t>The panel renders from the stored record after the upkeep cycle of §3.3.2 has run, not from the row that was clicked and not from anything cached in the browser. ProviderDetailOutput.from_stored in FindCare/ProviderDetail/provider_detail_models.py is the single projection from record to panel, so "the values held" has one meaning.</w:t>
      </w:r>
    </w:p>
    <w:p w14:paraId="48BC829F" w14:textId="77777777" w:rsidR="00330C1B" w:rsidRDefault="00000000">
      <w:pPr>
        <w:spacing w:before="80"/>
        <w:ind w:left="432"/>
      </w:pPr>
      <w:r>
        <w:rPr>
          <w:b/>
          <w:sz w:val="19"/>
        </w:rPr>
        <w:t xml:space="preserve">EPIC-006-F-002-S-001-REQ-B-002  </w:t>
      </w:r>
      <w:r>
        <w:rPr>
          <w:i/>
          <w:sz w:val="19"/>
        </w:rPr>
        <w:t>"The panel MUST display the provider's full name (prefix, first, middle, last), credentials, primary taxonomy (NUCC display name), NPI, status (active/inactive), and enumeration date. Missing fields render as empty placeholders — no fallback prose."</w:t>
      </w:r>
    </w:p>
    <w:p w14:paraId="02EBF491" w14:textId="77777777" w:rsidR="00330C1B" w:rsidRDefault="00000000">
      <w:r>
        <w:t>The Identity model carries exactly those fields. The taxonomy display name is not on the provider record — the record carries codes — so resolve_taxonomy_display_names joins the codes against the collection bound to the SPECIALTY_META_COLLECTION slot. Absence renders as an empty placeholder: the projection emits the field with an empty value rather than omitting it, because a renderer that receives no field cannot tell an empty value from a value it was never sent, and prose in place of a value is the failure named.</w:t>
      </w:r>
    </w:p>
    <w:p w14:paraId="31121A3F" w14:textId="77777777" w:rsidR="00330C1B" w:rsidRDefault="00000000">
      <w:pPr>
        <w:spacing w:before="80"/>
        <w:ind w:left="432"/>
      </w:pPr>
      <w:r>
        <w:rPr>
          <w:b/>
          <w:sz w:val="19"/>
        </w:rPr>
        <w:t xml:space="preserve">EPIC-006-F-002-S-001-REQ-B-003  </w:t>
      </w:r>
      <w:r>
        <w:rPr>
          <w:i/>
          <w:sz w:val="19"/>
        </w:rPr>
        <w:t>"The panel MUST show every licence held for the provider, each with its issuing state and its licence number. Where the provider holds none, the licence section MUST be shown empty rather than replaced by prose."</w:t>
      </w:r>
    </w:p>
    <w:p w14:paraId="1E85A5E1" w14:textId="77777777" w:rsidR="00330C1B" w:rsidRDefault="00000000">
      <w:pPr>
        <w:spacing w:before="80"/>
        <w:ind w:left="432"/>
      </w:pPr>
      <w:r>
        <w:rPr>
          <w:b/>
          <w:sz w:val="19"/>
        </w:rPr>
        <w:t xml:space="preserve">EPIC-006-F-002-S-001-REQ-B-006  </w:t>
      </w:r>
      <w:r>
        <w:rPr>
          <w:i/>
          <w:sz w:val="19"/>
        </w:rPr>
        <w:t>"The panel MUST show every payer identifier held for the provider, each with the kind of coverage, the issuer, the state and the identifier itself. Where the provider holds none, the section MUST be shown empty rather than replaced by prose. A payer identifier MUST NOT be presented as membership of a network."</w:t>
      </w:r>
    </w:p>
    <w:p w14:paraId="08395BB1" w14:textId="77777777" w:rsidR="00330C1B" w:rsidRDefault="00000000">
      <w:r>
        <w:t>Licences and payer identifiers are both normalised lists on the record, and both sections are emitted whether or not they hold rows — an empty list is a section with no rows, which is what "shown empty" means. The payer section is labelled as identifiers the provider carries and is never labelled as insurance accepted or as a network: the registry records which payers issued an identifier, and nothing in that datum establishes that a plan's network includes the provider. The four fields — coverage kind, issuer, state, identifier — are carried per row so the person can see what the identifier is rather than infer it.</w:t>
      </w:r>
    </w:p>
    <w:p w14:paraId="1B7F5C8F" w14:textId="77777777" w:rsidR="00330C1B" w:rsidRDefault="00000000">
      <w:pPr>
        <w:ind w:left="432"/>
      </w:pPr>
      <w:r>
        <w:rPr>
          <w:b/>
          <w:color w:val="990000"/>
        </w:rPr>
        <w:t xml:space="preserve">Code contradicts this design: </w:t>
      </w:r>
      <w:r>
        <w:rPr>
          <w:color w:val="990000"/>
        </w:rPr>
        <w:t>ProviderDetailWidget.tsx renders payer identifiers under the heading "Insurance" as a flat payer and identifier pair, which presents an identifier as coverage and drops two of the four required fields.</w:t>
      </w:r>
    </w:p>
    <w:p w14:paraId="000EA9D4" w14:textId="77777777" w:rsidR="00330C1B" w:rsidRDefault="00000000">
      <w:pPr>
        <w:ind w:left="432"/>
      </w:pPr>
      <w:r>
        <w:rPr>
          <w:b/>
          <w:color w:val="005500"/>
        </w:rPr>
        <w:t>Designed change C-06</w:t>
      </w:r>
      <w:r>
        <w:rPr>
          <w:color w:val="005500"/>
          <w:sz w:val="18"/>
        </w:rPr>
        <w:t xml:space="preserve">  (owner: EPIC-006)  </w:t>
      </w:r>
      <w:r>
        <w:rPr>
          <w:color w:val="005500"/>
        </w:rPr>
        <w:t>The payer row in FindCare/ProviderDetail/provider_detail_models.py carries four fields — coverage kind, issuer, state and identifier — projected by from_stored from the record's normalised list. ProviderDetailWidget.tsx renders all four, and the section heading changes from "Insurance" to the payer-identifier label, which is what stops an identifier being read as coverage. The section is emitted when the list is empty.</w:t>
      </w:r>
    </w:p>
    <w:p w14:paraId="4D95CF41" w14:textId="77777777" w:rsidR="00330C1B" w:rsidRDefault="00000000">
      <w:pPr>
        <w:spacing w:before="80"/>
        <w:ind w:left="432"/>
      </w:pPr>
      <w:r>
        <w:rPr>
          <w:b/>
          <w:sz w:val="19"/>
        </w:rPr>
        <w:t xml:space="preserve">EPIC-006-F-002-S-001-REQ-B-004  </w:t>
      </w:r>
      <w:r>
        <w:rPr>
          <w:i/>
          <w:sz w:val="19"/>
        </w:rPr>
        <w:t>"The panel MUST show every address held for the provider, each labelled as a practice location or as the business address, with its street, city, state, postal code, country and phone."</w:t>
      </w:r>
    </w:p>
    <w:p w14:paraId="073CD506" w14:textId="77777777" w:rsidR="00330C1B" w:rsidRDefault="00000000">
      <w:pPr>
        <w:spacing w:before="80"/>
        <w:ind w:left="432"/>
      </w:pPr>
      <w:r>
        <w:rPr>
          <w:b/>
          <w:sz w:val="19"/>
        </w:rPr>
        <w:t xml:space="preserve">EPIC-006-F-002-S-001-REQ-B-005  </w:t>
      </w:r>
      <w:r>
        <w:rPr>
          <w:i/>
          <w:sz w:val="19"/>
        </w:rPr>
        <w:t>"For every practice location the panel MUST show the county, and MUST show whether that county is urban where that is known."</w:t>
      </w:r>
    </w:p>
    <w:p w14:paraId="43C4F137" w14:textId="77777777" w:rsidR="00330C1B" w:rsidRDefault="00000000">
      <w:r>
        <w:t>The Address model carries the address_type label, so practice and business addresses render in one list distinguished by their label rather than in two lists that could disagree about which is which. County and urban standing are on the address, not looked up at display time: the record's CountyEnrichment object carries fips, name and the urban flag derived from the USDA Rural-Urban Continuum Code. "Where that is known" is the design of the flag — it is absent when enrichment did not resolve the address, and an absent flag renders as no urban statement rather than as a claim of rural.</w:t>
      </w:r>
    </w:p>
    <w:p w14:paraId="7566A0FF" w14:textId="77777777" w:rsidR="00330C1B" w:rsidRDefault="00000000">
      <w:pPr>
        <w:ind w:left="432"/>
      </w:pPr>
      <w:r>
        <w:rPr>
          <w:b/>
          <w:color w:val="990000"/>
        </w:rPr>
        <w:t xml:space="preserve">Code contradicts this design: </w:t>
      </w:r>
      <w:r>
        <w:rPr>
          <w:color w:val="990000"/>
        </w:rPr>
        <w:t>ProviderDetailWidget.tsx renders neither county nor urban standing. County is sent up as request context and never painted.</w:t>
      </w:r>
    </w:p>
    <w:p w14:paraId="7D3B448E" w14:textId="77777777" w:rsidR="00330C1B" w:rsidRDefault="00000000">
      <w:pPr>
        <w:ind w:left="432"/>
      </w:pPr>
      <w:r>
        <w:rPr>
          <w:b/>
          <w:color w:val="005500"/>
        </w:rPr>
        <w:t>Designed change C-07</w:t>
      </w:r>
      <w:r>
        <w:rPr>
          <w:color w:val="005500"/>
          <w:sz w:val="18"/>
        </w:rPr>
        <w:t xml:space="preserve">  (owner: EPIC-006)  </w:t>
      </w:r>
      <w:r>
        <w:rPr>
          <w:color w:val="005500"/>
        </w:rPr>
        <w:t>The Address model already carries the CountyEnrichment object. ProviderDetailWidget.tsx renders the county name and the urban standing beneath each practice address, and renders no urban statement where the flag is absent. The county the client currently sends up as request context is removed from the request: it is never read, and a county travelling upward from the client is a second source for a value the record already holds.</w:t>
      </w:r>
    </w:p>
    <w:p w14:paraId="65C1E768" w14:textId="77777777" w:rsidR="00330C1B" w:rsidRDefault="00000000">
      <w:pPr>
        <w:spacing w:before="80"/>
        <w:ind w:left="432"/>
      </w:pPr>
      <w:r>
        <w:rPr>
          <w:b/>
          <w:sz w:val="19"/>
        </w:rPr>
        <w:t xml:space="preserve">EPIC-006-F-002-S-001-REQ-B-007  </w:t>
      </w:r>
      <w:r>
        <w:rPr>
          <w:i/>
          <w:sz w:val="19"/>
        </w:rPr>
        <w:t>"The panel MUST offer a destination at which the user can independently confirm the provider's enumeration, and a destination at the authority that licenses the provider in the state of their primary practice location. Every state, the District of Columbia and every outlying sovereignty in which a provider may hold a practice location MUST be covered."</w:t>
      </w:r>
    </w:p>
    <w:p w14:paraId="5AD7694E" w14:textId="77777777" w:rsidR="00330C1B" w:rsidRDefault="00000000">
      <w:r>
        <w:t>Two destinations, built by ProviderDetailService.build_research_sites. The enumeration destination is the federal registry's own search for this NPI. The licensing destination is a lookup of the primary practice state in the STATE_BOARDS table, which maps a two-letter jurisdiction to a board name and a verification URL. The requirement fixes the table's domain: every jurisdiction the registry can write into a practice address must be a key, so the table is complete when it covers the fifty states, the District of Columbia, and the outlying sovereignties. A state present in a record and absent from the table is a defect, and the projection therefore emits the state it could not resolve rather than silently omitting the destination.</w:t>
      </w:r>
    </w:p>
    <w:p w14:paraId="14EFBE17" w14:textId="77777777" w:rsidR="00330C1B" w:rsidRDefault="00000000">
      <w:pPr>
        <w:ind w:left="432"/>
      </w:pPr>
      <w:r>
        <w:rPr>
          <w:b/>
          <w:color w:val="990000"/>
        </w:rPr>
        <w:t xml:space="preserve">Code contradicts this design: </w:t>
      </w:r>
      <w:r>
        <w:rPr>
          <w:color w:val="990000"/>
        </w:rPr>
        <w:t>STATE_BOARDS holds 52 keys — the fifty states, DC and Puerto Rico. Guam, the US Virgin Islands, American Samoa and the Northern Mariana Islands are absent, and a provider in any of them is offered no licensing destination.</w:t>
      </w:r>
    </w:p>
    <w:p w14:paraId="4C5C2949" w14:textId="77777777" w:rsidR="00330C1B" w:rsidRDefault="00000000">
      <w:pPr>
        <w:ind w:left="432"/>
      </w:pPr>
      <w:r>
        <w:rPr>
          <w:b/>
          <w:color w:val="005500"/>
        </w:rPr>
        <w:t>Designed change C-08</w:t>
      </w:r>
      <w:r>
        <w:rPr>
          <w:color w:val="005500"/>
          <w:sz w:val="18"/>
        </w:rPr>
        <w:t xml:space="preserve">  (owner: EPIC-006)  </w:t>
      </w:r>
      <w:r>
        <w:rPr>
          <w:color w:val="005500"/>
        </w:rPr>
        <w:t>STATE_BOARDS in FindCare/ProviderDetail/provider_detail_service.py gains GU, VI, AS and MP, each mapping to that sovereignty's licensing authority and its verification URL, bringing the table to 56 keys — the domain the requirement fixes. build_research_sites stops failing silently on a key it does not hold: where a practice state is absent from the table it emits the state it could not resolve in place of the destination, so a future gap surfaces instead of removing a link.</w:t>
      </w:r>
    </w:p>
    <w:p w14:paraId="06A8A074" w14:textId="77777777" w:rsidR="00330C1B" w:rsidRDefault="00000000">
      <w:pPr>
        <w:pStyle w:val="Heading3"/>
      </w:pPr>
      <w:r>
        <w:t>3.3.2 Keeping the record true</w:t>
      </w:r>
    </w:p>
    <w:p w14:paraId="0E2027D5" w14:textId="77777777" w:rsidR="00330C1B" w:rsidRDefault="00000000">
      <w:pPr>
        <w:spacing w:before="80"/>
        <w:ind w:left="432"/>
      </w:pPr>
      <w:r>
        <w:rPr>
          <w:b/>
          <w:sz w:val="19"/>
        </w:rPr>
        <w:t xml:space="preserve">EPIC-006-F-002-S-002-REQ-B-018  </w:t>
      </w:r>
      <w:r>
        <w:rPr>
          <w:i/>
          <w:sz w:val="19"/>
        </w:rPr>
        <w:t>"A Provider Detail MUST show the provider as the NPI API reports them at the moment the user opened it."</w:t>
      </w:r>
    </w:p>
    <w:p w14:paraId="02A4D7DF" w14:textId="77777777" w:rsidR="00330C1B" w:rsidRDefault="00000000">
      <w:pPr>
        <w:spacing w:before="80"/>
        <w:ind w:left="432"/>
      </w:pPr>
      <w:r>
        <w:rPr>
          <w:b/>
          <w:sz w:val="19"/>
        </w:rPr>
        <w:t xml:space="preserve">EPIC-006-F-002-S-002-REQ-B-015  </w:t>
      </w:r>
      <w:r>
        <w:rPr>
          <w:i/>
          <w:sz w:val="19"/>
        </w:rPr>
        <w:t>"A real-time query to the NPI API, by NPI, MUST be available to every Provider tool."</w:t>
      </w:r>
    </w:p>
    <w:p w14:paraId="08FA300D" w14:textId="77777777" w:rsidR="00330C1B" w:rsidRDefault="00000000">
      <w:pPr>
        <w:spacing w:before="80"/>
        <w:ind w:left="432"/>
      </w:pPr>
      <w:r>
        <w:rPr>
          <w:b/>
          <w:sz w:val="19"/>
        </w:rPr>
        <w:t xml:space="preserve">EPIC-006-F-002-S-002-REQ-B-016  </w:t>
      </w:r>
      <w:r>
        <w:rPr>
          <w:i/>
          <w:sz w:val="19"/>
        </w:rPr>
        <w:t>"A response to that query MUST carry, for the NPI asked for: the provider's identity, every taxonomy, every address, every other identifier, and the provider's current active state."</w:t>
      </w:r>
    </w:p>
    <w:p w14:paraId="01121262" w14:textId="77777777" w:rsidR="00330C1B" w:rsidRDefault="00000000">
      <w:r>
        <w:t>Opening a detail runs a four-step cycle, ProviderDetailService.sync_cycle. It queries the registry live by NPI at https://npiregistry.cms.hhs.gov/api/?number={npi}&amp;version=2.1; it compares every registry-sourced field against the stored record; where they diverge it writes the live values back; and the panel then renders from the record. B-018 is met by the ordering — the write-back precedes the projection, so the panel shows what the registry reported for this opening and not what a previous opening left behind.</w:t>
      </w:r>
    </w:p>
    <w:p w14:paraId="2D57F1CA" w14:textId="77777777" w:rsidR="00330C1B" w:rsidRDefault="00000000">
      <w:r>
        <w:t>The query is a capability of the provider service rather than of the detail route, which is what B-015 requires: fetch_live takes an NPI and returns the registry record, and any Provider tool holding the service may call it. B-016 is a statement about the response, and the version=2.1 form of the registry API returns identity, the taxonomy list, the address list, the other-identifier list and the active state in one document. FindCare states what it asks for and what must come back and states nothing about how the registry produces it.</w:t>
      </w:r>
    </w:p>
    <w:p w14:paraId="21E3A5CF" w14:textId="77777777" w:rsidR="00330C1B" w:rsidRDefault="00000000">
      <w:r>
        <w:t xml:space="preserve">The compare-and-write-back is provider_record_sync in Code/ConversationalUX/FindCareChat/backend/domain/find_care/. It divides the record in two. The registry owns identity, taxonomies, addresses, other identifiers and active state, and those are </w:t>
      </w:r>
      <w:r>
        <w:t>overwritten. Our pipeline owns the enrichments — county and urban standing, the normalised licence and payer lists, the quality flags, the active log — and those are preserved or recomputed per field: county is preserved for an address that has not changed and resolved afresh for an address that is new, because the enrichment is a property of the address and not of the record.</w:t>
      </w:r>
    </w:p>
    <w:p w14:paraId="355CC2F7" w14:textId="77777777" w:rsidR="00330C1B" w:rsidRDefault="00000000">
      <w:pPr>
        <w:spacing w:before="80"/>
        <w:ind w:left="432"/>
      </w:pPr>
      <w:r>
        <w:rPr>
          <w:b/>
          <w:sz w:val="19"/>
        </w:rPr>
        <w:t xml:space="preserve">EPIC-006-F-002-S-002-REQ-B-017  </w:t>
      </w:r>
      <w:r>
        <w:rPr>
          <w:i/>
          <w:sz w:val="19"/>
        </w:rPr>
        <w:t>"The county of every address, and whether that county is urban, MUST be available to every Provider tool."</w:t>
      </w:r>
    </w:p>
    <w:p w14:paraId="42B047DF" w14:textId="77777777" w:rsidR="00330C1B" w:rsidRDefault="00000000">
      <w:r>
        <w:t>Both are fields on the address inside the record, written by the pipeline and read by anything holding the record. Nothing in FindCare resolves a county: it consumes what EPIC-010 wrote.</w:t>
      </w:r>
    </w:p>
    <w:p w14:paraId="7FC218CD" w14:textId="77777777" w:rsidR="00330C1B" w:rsidRDefault="00000000">
      <w:pPr>
        <w:spacing w:before="80"/>
        <w:ind w:left="432"/>
      </w:pPr>
      <w:r>
        <w:rPr>
          <w:b/>
          <w:sz w:val="19"/>
        </w:rPr>
        <w:t xml:space="preserve">EPIC-006-F-002-S-002-REQ-B-019  </w:t>
      </w:r>
      <w:r>
        <w:rPr>
          <w:i/>
          <w:sz w:val="19"/>
        </w:rPr>
        <w:t>"When the NPI query does not answer, the Provider Detail MUST still be shown from what FindCare already holds."</w:t>
      </w:r>
    </w:p>
    <w:p w14:paraId="543E7073" w14:textId="77777777" w:rsidR="00330C1B" w:rsidRDefault="00000000">
      <w:r>
        <w:t>Not answering has four shapes — a network failure, a non-200 status, a malformed body, and a well-formed body with no result — and all four resolve to the same outcome: fetch_live returns nothing, the comparison and write-back are skipped, and the panel renders from the stored record. The requirement makes the live query an improvement to the answer and not a precondition for it, so the failure path is a skipped step and never a refusal to show the panel. Each shape is logged distinctly because the operator needs to tell a transient outage from a broken contract.</w:t>
      </w:r>
    </w:p>
    <w:p w14:paraId="7A6CCEE7" w14:textId="77777777" w:rsidR="00330C1B" w:rsidRDefault="00000000">
      <w:pPr>
        <w:pStyle w:val="Heading2"/>
      </w:pPr>
      <w:r>
        <w:t>3.4 F-003 — Manage Front End Specialty Filter List</w:t>
      </w:r>
    </w:p>
    <w:p w14:paraId="3B4A8009" w14:textId="77777777" w:rsidR="00330C1B" w:rsidRDefault="00000000">
      <w:r>
        <w:t>This is the one place in FindCare where meaning is resolved. Everything downstream of it is a parameterised query on registry facts.</w:t>
      </w:r>
    </w:p>
    <w:p w14:paraId="341EA686" w14:textId="77777777" w:rsidR="00330C1B" w:rsidRDefault="00000000">
      <w:pPr>
        <w:pStyle w:val="Heading3"/>
      </w:pPr>
      <w:r>
        <w:t>3.4.1 Producing the offered list</w:t>
      </w:r>
    </w:p>
    <w:p w14:paraId="16E72093" w14:textId="77777777" w:rsidR="00330C1B" w:rsidRDefault="00000000">
      <w:pPr>
        <w:spacing w:before="80"/>
        <w:ind w:left="432"/>
      </w:pPr>
      <w:r>
        <w:rPr>
          <w:b/>
          <w:sz w:val="19"/>
        </w:rPr>
        <w:t xml:space="preserve">EPIC-006-F-003-S-001-REQ-B-002  </w:t>
      </w:r>
      <w:r>
        <w:rPr>
          <w:i/>
          <w:sz w:val="19"/>
        </w:rPr>
        <w:t>"When a user's healthcare request implies one or more specialties, the user MUST be offered the list of them."</w:t>
      </w:r>
    </w:p>
    <w:p w14:paraId="3BD95C3A" w14:textId="77777777" w:rsidR="00330C1B" w:rsidRDefault="00000000">
      <w:r>
        <w:t>SpecialtyFilter.find_specialties in FindCare/SpecialtyFilter/filter.py runs four stages, and the division between them is the design. Stage one normalises the request into a clinical search term and a complaint, because the words a person uses name no taxonomy. Stage two embeds that term. Stage three vector-searches the specialty catalogue — the collection bound to the SPECIALTY_META_COLLECTION slot, Atlas index specialty_vector_index, path embedding — to recall a candidate set wide enough to contain the answer. Stage four gives the candidates to a model with their classification, specialisation and definition and asks which of them the request implies.</w:t>
      </w:r>
    </w:p>
    <w:p w14:paraId="1CB3F916" w14:textId="77777777" w:rsidR="00330C1B" w:rsidRDefault="00000000">
      <w:r>
        <w:t>Recall and precision are separated deliberately across stages three and four. The vector stage is tuned to recall and returns more than the answer; the model stage is the one that decides, and it decides only among candidates the catalogue actually holds — its output is intersected with the candidate set, so it cannot return a code that does not exist. That intersection is what makes the semantic step safe to have at all: the model chooses among registry facts and cannot invent one.</w:t>
      </w:r>
    </w:p>
    <w:p w14:paraId="3F677691" w14:textId="77777777" w:rsidR="00330C1B" w:rsidRDefault="00000000">
      <w:r>
        <w:t>The catalogue is filtered to the individual section, and deactivated entries are dropped, so a code that no longer names a practising kind of provider is never offered.</w:t>
      </w:r>
    </w:p>
    <w:p w14:paraId="7F3C6DA4" w14:textId="77777777" w:rsidR="00330C1B" w:rsidRDefault="00000000">
      <w:pPr>
        <w:pStyle w:val="Heading3"/>
      </w:pPr>
      <w:r>
        <w:t>3.4.2 Narrowing it</w:t>
      </w:r>
    </w:p>
    <w:p w14:paraId="4C472C08" w14:textId="77777777" w:rsidR="00330C1B" w:rsidRDefault="00000000">
      <w:pPr>
        <w:spacing w:before="80"/>
        <w:ind w:left="432"/>
      </w:pPr>
      <w:r>
        <w:rPr>
          <w:b/>
          <w:sz w:val="19"/>
        </w:rPr>
        <w:t xml:space="preserve">EPIC-006-F-003-S-001-REQ-B-003  </w:t>
      </w:r>
      <w:r>
        <w:rPr>
          <w:i/>
          <w:sz w:val="19"/>
        </w:rPr>
        <w:t>"A user MUST be able to include or exclude any specialty in the offered list."</w:t>
      </w:r>
    </w:p>
    <w:p w14:paraId="617107B2" w14:textId="77777777" w:rsidR="00330C1B" w:rsidRDefault="00000000">
      <w:pPr>
        <w:spacing w:before="80"/>
        <w:ind w:left="432"/>
      </w:pPr>
      <w:r>
        <w:rPr>
          <w:b/>
          <w:sz w:val="19"/>
        </w:rPr>
        <w:t xml:space="preserve">EPIC-006-F-003-S-001-REQ-B-004  </w:t>
      </w:r>
      <w:r>
        <w:rPr>
          <w:i/>
          <w:sz w:val="19"/>
        </w:rPr>
        <w:t>"A user MUST be able to include or exclude every specialty that prescribes, together."</w:t>
      </w:r>
    </w:p>
    <w:p w14:paraId="48411ADE" w14:textId="77777777" w:rsidR="00330C1B" w:rsidRDefault="00000000">
      <w:pPr>
        <w:spacing w:before="80"/>
        <w:ind w:left="432"/>
      </w:pPr>
      <w:r>
        <w:rPr>
          <w:b/>
          <w:sz w:val="19"/>
        </w:rPr>
        <w:t xml:space="preserve">EPIC-006-F-003-S-001-REQ-B-005  </w:t>
      </w:r>
      <w:r>
        <w:rPr>
          <w:i/>
          <w:sz w:val="19"/>
        </w:rPr>
        <w:t>"A user MUST be able to include or exclude every homeopathic specialty, together."</w:t>
      </w:r>
    </w:p>
    <w:p w14:paraId="04B0A360" w14:textId="77777777" w:rsidR="00330C1B" w:rsidRDefault="00000000">
      <w:r>
        <w:t>Two sets, not one. The offered set is what stage four returned and is written by the filter; the chosen set is what the person kept and is written by the person. Neither recomputes the other, which is what allows a person to uncheck everything and still see what was offered. Each offered row carries the two flags the catalogue holds for that code — whether it prescribes and whether it is homeopathic — so both group actions are a partition of the offered set by a field already present, and neither needs a query. The homeopathic flag marks a homeopathic provider; it is not an umbrella over the complementary or integrative set.</w:t>
      </w:r>
    </w:p>
    <w:p w14:paraId="07783C7F" w14:textId="77777777" w:rsidR="00330C1B" w:rsidRDefault="00000000">
      <w:pPr>
        <w:spacing w:before="80"/>
        <w:ind w:left="432"/>
      </w:pPr>
      <w:r>
        <w:rPr>
          <w:b/>
          <w:sz w:val="19"/>
        </w:rPr>
        <w:t xml:space="preserve">EPIC-006-F-003-S-001-REQ-B-006  </w:t>
      </w:r>
      <w:r>
        <w:rPr>
          <w:i/>
          <w:sz w:val="19"/>
        </w:rPr>
        <w:t>"The user MUST be shown how many specialties are offered, how many of them prescribe, and how many the user has chosen."</w:t>
      </w:r>
    </w:p>
    <w:p w14:paraId="2AB58478" w14:textId="77777777" w:rsidR="00330C1B" w:rsidRDefault="00000000">
      <w:r>
        <w:t>Three counts over the two sets: the size of the offered set, the count of offered rows carrying the prescribing flag, and the size of the chosen set. All three are derived at paint time from state the panel already holds, so they cannot disagree with the rows beside them.</w:t>
      </w:r>
    </w:p>
    <w:p w14:paraId="10A7A924" w14:textId="77777777" w:rsidR="00330C1B" w:rsidRDefault="00000000">
      <w:pPr>
        <w:spacing w:before="80"/>
        <w:ind w:left="432"/>
      </w:pPr>
      <w:r>
        <w:rPr>
          <w:b/>
          <w:sz w:val="19"/>
        </w:rPr>
        <w:t xml:space="preserve">EPIC-006-F-003-S-001-REQ-B-008  </w:t>
      </w:r>
      <w:r>
        <w:rPr>
          <w:i/>
          <w:sz w:val="19"/>
        </w:rPr>
        <w:t>"A user's chosen set of specialties MUST remain in force until that user changes it."</w:t>
      </w:r>
    </w:p>
    <w:p w14:paraId="0B1090BD" w14:textId="77777777" w:rsidR="00330C1B" w:rsidRDefault="00000000">
      <w:r>
        <w:t>The chosen set is a parameter, held on the session and persisted with it. A new utterance clears it only when the complaint itself changed — a person who asks the same question a second way has not changed their mind about which specialties they want.</w:t>
      </w:r>
    </w:p>
    <w:p w14:paraId="158D6127" w14:textId="77777777" w:rsidR="00330C1B" w:rsidRDefault="00000000">
      <w:pPr>
        <w:pStyle w:val="Heading3"/>
      </w:pPr>
      <w:r>
        <w:t>3.4.3 Applying it</w:t>
      </w:r>
    </w:p>
    <w:p w14:paraId="6BD4DB60" w14:textId="77777777" w:rsidR="00330C1B" w:rsidRDefault="00000000">
      <w:pPr>
        <w:spacing w:before="80"/>
        <w:ind w:left="432"/>
      </w:pPr>
      <w:r>
        <w:rPr>
          <w:b/>
          <w:sz w:val="19"/>
        </w:rPr>
        <w:t xml:space="preserve">EPIC-006-F-003-S-001-REQ-B-007  </w:t>
      </w:r>
      <w:r>
        <w:rPr>
          <w:i/>
          <w:sz w:val="19"/>
        </w:rPr>
        <w:t>"When a user applies their chosen specialties, the provider list MUST then show exactly the providers those specialties admit."</w:t>
      </w:r>
    </w:p>
    <w:p w14:paraId="5FF0D348" w14:textId="77777777" w:rsidR="00330C1B" w:rsidRDefault="00000000">
      <w:r>
        <w:t>Apply is a gateway op. The router writes the chosen codes as a parameter and dispatches the provider search, which reads the codes and queries. No model runs on this path: the meaning was resolved when the list was offered, and applying a set of codes is a filter. "Exactly the providers those specialties admit" is therefore a property of the query — the taxonomy clause is an intersection against the chosen set — and not of any ranking. A person who applies the same set twice gets the same providers.</w:t>
      </w:r>
    </w:p>
    <w:p w14:paraId="34E65017" w14:textId="77777777" w:rsidR="00330C1B" w:rsidRDefault="00000000">
      <w:pPr>
        <w:pStyle w:val="Heading2"/>
      </w:pPr>
      <w:r>
        <w:t>3.5 F-005 — Manage Front End Clinical Trial List</w:t>
      </w:r>
    </w:p>
    <w:p w14:paraId="029B6185" w14:textId="77777777" w:rsidR="00330C1B" w:rsidRDefault="00000000">
      <w:r>
        <w:t>The registry is not ChatHealthy's. FindCare states what it asks for and what must come back and states nothing about how the registry produces an answer. The client is ClinicalTrialsTool, FindCare/ClinicalTrials/clinical_trials_tool.py, against https://clinicaltrials.gov/api/v2/studies.</w:t>
      </w:r>
    </w:p>
    <w:p w14:paraId="1DF8D2A8" w14:textId="77777777" w:rsidR="00330C1B" w:rsidRDefault="00000000">
      <w:pPr>
        <w:spacing w:before="80"/>
        <w:ind w:left="432"/>
      </w:pPr>
      <w:r>
        <w:rPr>
          <w:b/>
          <w:sz w:val="19"/>
        </w:rPr>
        <w:t xml:space="preserve">EPIC-006-F-005-S-001-REQ-B-075  </w:t>
      </w:r>
      <w:r>
        <w:rPr>
          <w:i/>
          <w:sz w:val="19"/>
        </w:rPr>
        <w:t>"A query to the clinical-trials registry, by condition, MUST be available to FindCare."</w:t>
      </w:r>
    </w:p>
    <w:p w14:paraId="6DB6385E" w14:textId="77777777" w:rsidR="00330C1B" w:rsidRDefault="00000000">
      <w:pPr>
        <w:spacing w:before="80"/>
        <w:ind w:left="432"/>
      </w:pPr>
      <w:r>
        <w:rPr>
          <w:b/>
          <w:sz w:val="19"/>
        </w:rPr>
        <w:t xml:space="preserve">EPIC-006-F-005-S-001-REQ-B-077  </w:t>
      </w:r>
      <w:r>
        <w:rPr>
          <w:i/>
          <w:sz w:val="19"/>
        </w:rPr>
        <w:t>"A trial search MUST run with a condition alone. No other value MUST be required of the user."</w:t>
      </w:r>
    </w:p>
    <w:p w14:paraId="029D6DFB" w14:textId="77777777" w:rsidR="00330C1B" w:rsidRDefault="00000000">
      <w:r>
        <w:t>The condition is the only field the request requires; every other field is optional and absent means unnarrowed. A request carrying a condition and nothing else is well-formed and runs. The tool refuses only the empty condition, because a trial search with no subject names no query.</w:t>
      </w:r>
    </w:p>
    <w:p w14:paraId="6C90E529" w14:textId="77777777" w:rsidR="00330C1B" w:rsidRDefault="00000000">
      <w:pPr>
        <w:spacing w:before="80"/>
        <w:ind w:left="432"/>
      </w:pPr>
      <w:r>
        <w:rPr>
          <w:b/>
          <w:sz w:val="19"/>
        </w:rPr>
        <w:t xml:space="preserve">EPIC-006-F-005-S-001-REQ-B-078  </w:t>
      </w:r>
      <w:r>
        <w:rPr>
          <w:i/>
          <w:sz w:val="19"/>
        </w:rPr>
        <w:t>"A user MUST be able to narrow a trial search to trials open to a person of their age."</w:t>
      </w:r>
    </w:p>
    <w:p w14:paraId="0DB451D5" w14:textId="77777777" w:rsidR="00330C1B" w:rsidRDefault="00000000">
      <w:pPr>
        <w:spacing w:before="80"/>
        <w:ind w:left="432"/>
      </w:pPr>
      <w:r>
        <w:rPr>
          <w:b/>
          <w:sz w:val="19"/>
        </w:rPr>
        <w:t xml:space="preserve">EPIC-006-F-005-S-001-REQ-B-079  </w:t>
      </w:r>
      <w:r>
        <w:rPr>
          <w:i/>
          <w:sz w:val="19"/>
        </w:rPr>
        <w:t>"A user MUST be able to narrow a trial search to trials open to a person of their sex."</w:t>
      </w:r>
    </w:p>
    <w:p w14:paraId="59B40D34" w14:textId="77777777" w:rsidR="00330C1B" w:rsidRDefault="00000000">
      <w:r>
        <w:t>Sex is expressible to the registry directly and is sent as a registry filter. Age is not: the registry filters by three eligibility buckets — child, adult, older adult — and a person has an age, not a bucket. Age is therefore narrowed in two steps. The bucket containing the age is sent to the registry so the registry does the bulk of the work, and each returned trial is then tested against its own declared minimum and maximum eligibility age, which the registry carries on the trial. A trial the bucket admitted and the declared range excludes is dropped. The second step is required and not defensive: the bucket is coarser than the requirement, so the bucket alone does not narrow to "open to a person of their age".</w:t>
      </w:r>
    </w:p>
    <w:p w14:paraId="6B6B5FE6" w14:textId="77777777" w:rsidR="00330C1B" w:rsidRDefault="00000000">
      <w:pPr>
        <w:spacing w:before="80"/>
        <w:ind w:left="432"/>
      </w:pPr>
      <w:r>
        <w:rPr>
          <w:b/>
          <w:sz w:val="19"/>
        </w:rPr>
        <w:t xml:space="preserve">EPIC-006-F-005-S-001-REQ-B-080  </w:t>
      </w:r>
      <w:r>
        <w:rPr>
          <w:i/>
          <w:sz w:val="19"/>
        </w:rPr>
        <w:t>"A user MUST be able to restrict a trial search to the United States. A search in which they do not MUST return trials worldwide."</w:t>
      </w:r>
    </w:p>
    <w:p w14:paraId="114AFCDC" w14:textId="77777777" w:rsidR="00330C1B" w:rsidRDefault="00000000">
      <w:r>
        <w:t>One parameter with two values, defaulting to worldwide. The restricted value adds a location filter to the registry query; the default adds no geographic filter at all, so worldwide is the absence of a constraint rather than a second query.</w:t>
      </w:r>
    </w:p>
    <w:p w14:paraId="04D3329B" w14:textId="77777777" w:rsidR="00330C1B" w:rsidRDefault="00000000">
      <w:pPr>
        <w:spacing w:before="80"/>
        <w:ind w:left="432"/>
      </w:pPr>
      <w:r>
        <w:rPr>
          <w:b/>
          <w:sz w:val="19"/>
        </w:rPr>
        <w:t xml:space="preserve">EPIC-006-F-005-S-001-REQ-B-076  </w:t>
      </w:r>
      <w:r>
        <w:rPr>
          <w:i/>
          <w:sz w:val="19"/>
        </w:rPr>
        <w:t>"A response to that query MUST carry, for each trial it returns, every value the trial list and the trial detail show, and MUST carry the number of trials matching the query."</w:t>
      </w:r>
    </w:p>
    <w:p w14:paraId="35491E01" w14:textId="77777777" w:rsidR="00330C1B" w:rsidRDefault="00000000">
      <w:r>
        <w:t>One fetch, not two. The trial model projects the registry's protocol, derived, document and annotation sections in full, so a trial retrieved for the list already carries everything its detail shows and opening a detail costs no second call. The count is requested from the registry with the query. Where the local age test of B-078 has removed trials the registry counted, the count reported is the count after that test — the number the person is being shown the remainder of — and the registry's own total is not presented as ours.</w:t>
      </w:r>
    </w:p>
    <w:p w14:paraId="5110E0F5" w14:textId="77777777" w:rsidR="00330C1B" w:rsidRDefault="00000000">
      <w:pPr>
        <w:ind w:left="432"/>
      </w:pPr>
      <w:r>
        <w:rPr>
          <w:b/>
          <w:color w:val="990000"/>
        </w:rPr>
        <w:t xml:space="preserve">Code contradicts this design: </w:t>
      </w:r>
      <w:r>
        <w:rPr>
          <w:color w:val="990000"/>
        </w:rPr>
        <w:t>The tool caps a search at 150 trials in a single fetch and paginates by slicing that cache in the browser. Beyond the cap the true count is unknown and the list is not the whole result, so B-076 does not hold for a common condition. The registry pages by cursor and the design is to page it to exhaustion for the condition rather than to cap.</w:t>
      </w:r>
    </w:p>
    <w:p w14:paraId="0F92F39E" w14:textId="77777777" w:rsidR="00330C1B" w:rsidRDefault="00000000">
      <w:pPr>
        <w:ind w:left="432"/>
      </w:pPr>
      <w:r>
        <w:rPr>
          <w:b/>
          <w:color w:val="005500"/>
        </w:rPr>
        <w:t>Designed change C-09</w:t>
      </w:r>
      <w:r>
        <w:rPr>
          <w:color w:val="005500"/>
          <w:sz w:val="18"/>
        </w:rPr>
        <w:t xml:space="preserve">  (owner: EPIC-006)  </w:t>
      </w:r>
      <w:r>
        <w:rPr>
          <w:color w:val="005500"/>
        </w:rPr>
        <w:t xml:space="preserve">FindCare/ClinicalTrials/clinical_trials_tool.py drops the _PREFILTER_CAP constant and pages the registry by the pageToken the registry already returns, which _fetch_ct_gov already receives and already discards. How far it pages depends on whether an age was given, and the two cases are different problems. With no age, no trial is dropped after the fetch, so the count the registry returns with countTotal is exact and the tool pages only as far as the person reads. With an age, the local eligibility test of §3.5 removes trials the registry counted, so the count must be counted rather than asked for — and the age bucket has already cut the set, which is what makes paging it to exhaustion a bounded cost. The </w:t>
      </w:r>
      <w:r>
        <w:rPr>
          <w:color w:val="005500"/>
        </w:rPr>
        <w:t>response carries the count it actually established, and the tool no longer reports a total it did not filter.</w:t>
      </w:r>
    </w:p>
    <w:p w14:paraId="1398BB5C" w14:textId="77777777" w:rsidR="00330C1B" w:rsidRDefault="00000000">
      <w:pPr>
        <w:spacing w:before="80"/>
        <w:ind w:left="432"/>
      </w:pPr>
      <w:r>
        <w:rPr>
          <w:b/>
          <w:sz w:val="19"/>
        </w:rPr>
        <w:t xml:space="preserve">EPIC-006-F-005-S-001-REQ-B-081  </w:t>
      </w:r>
      <w:r>
        <w:rPr>
          <w:i/>
          <w:sz w:val="19"/>
        </w:rPr>
        <w:t>"A user who has named only a condition MUST be offered the ways of narrowing the search they have not yet used."</w:t>
      </w:r>
    </w:p>
    <w:p w14:paraId="65586C6C" w14:textId="77777777" w:rsidR="00330C1B" w:rsidRDefault="00000000">
      <w:r>
        <w:t>FindCare states which refinements exist — age, sex, and the United States restriction — and the utterance manager owns asking for what is missing. The offer is therefore the three refinements less those the parameters already carry, computed the same way as the location narrowing of §3.2.6, and handed to EPIC-002-F-010 to put into words.</w:t>
      </w:r>
    </w:p>
    <w:p w14:paraId="0C444753" w14:textId="77777777" w:rsidR="00330C1B" w:rsidRDefault="00000000">
      <w:pPr>
        <w:pStyle w:val="Heading3"/>
      </w:pPr>
      <w:r>
        <w:t>3.5.1 What the list shows</w:t>
      </w:r>
    </w:p>
    <w:p w14:paraId="3270F7B2" w14:textId="77777777" w:rsidR="00330C1B" w:rsidRDefault="00000000">
      <w:pPr>
        <w:spacing w:before="80"/>
        <w:ind w:left="432"/>
      </w:pPr>
      <w:r>
        <w:rPr>
          <w:b/>
          <w:sz w:val="19"/>
        </w:rPr>
        <w:t xml:space="preserve">EPIC-006-F-005-S-002-REQ-B-007  </w:t>
      </w:r>
      <w:r>
        <w:rPr>
          <w:i/>
          <w:sz w:val="19"/>
        </w:rPr>
        <w:t>"Each trial in the list MUST show enough of itself for the user to tell it apart from the others without opening it."</w:t>
      </w:r>
    </w:p>
    <w:p w14:paraId="32DB3883" w14:textId="77777777" w:rsidR="00330C1B" w:rsidRDefault="00000000">
      <w:r>
        <w:t>The row carries the registry identifier, the brief title, the opening of the summary, and the three dimensions on which trials for one condition actually differ: the conditions studied, the eligible age range, and the eligible sex. Two trials for the same condition are distinguished by those, which is why they are the row and the sponsor is not.</w:t>
      </w:r>
    </w:p>
    <w:p w14:paraId="1F13D30E" w14:textId="77777777" w:rsidR="00330C1B" w:rsidRDefault="00000000">
      <w:pPr>
        <w:spacing w:before="80"/>
        <w:ind w:left="432"/>
      </w:pPr>
      <w:r>
        <w:rPr>
          <w:b/>
          <w:sz w:val="19"/>
        </w:rPr>
        <w:t xml:space="preserve">EPIC-006-F-005-S-002-REQ-B-008  </w:t>
      </w:r>
      <w:r>
        <w:rPr>
          <w:i/>
          <w:sz w:val="19"/>
        </w:rPr>
        <w:t>"The user MUST be shown the criteria that produced the trial list they are looking at."</w:t>
      </w:r>
    </w:p>
    <w:p w14:paraId="56949547" w14:textId="77777777" w:rsidR="00330C1B" w:rsidRDefault="00000000">
      <w:r>
        <w:t>The search context is echoed back on the response and painted above the list: the condition, and each narrowing that was in force. It is echoed by the tool from what it actually sent to the registry rather than assembled by the client from what it believes it asked for, so a narrowing that did not reach the registry cannot appear as though it had.</w:t>
      </w:r>
    </w:p>
    <w:p w14:paraId="1D2FB2CA" w14:textId="77777777" w:rsidR="00330C1B" w:rsidRDefault="00000000">
      <w:pPr>
        <w:ind w:left="432"/>
      </w:pPr>
      <w:r>
        <w:rPr>
          <w:b/>
          <w:color w:val="990000"/>
        </w:rPr>
        <w:t xml:space="preserve">Code contradicts this design: </w:t>
      </w:r>
      <w:r>
        <w:rPr>
          <w:color w:val="990000"/>
        </w:rPr>
        <w:t>The context carries a user location that reaches no registry parameter, and the widget paints a gender field, so the person is shown two criteria that did not narrow anything.</w:t>
      </w:r>
    </w:p>
    <w:p w14:paraId="49EABBBC" w14:textId="77777777" w:rsidR="00330C1B" w:rsidRDefault="00000000">
      <w:pPr>
        <w:ind w:left="432"/>
      </w:pPr>
      <w:r>
        <w:rPr>
          <w:b/>
          <w:color w:val="005500"/>
        </w:rPr>
        <w:t>Designed change C-10</w:t>
      </w:r>
      <w:r>
        <w:rPr>
          <w:color w:val="005500"/>
          <w:sz w:val="18"/>
        </w:rPr>
        <w:t xml:space="preserve">  (owner: EPIC-006)  </w:t>
      </w:r>
      <w:r>
        <w:rPr>
          <w:color w:val="005500"/>
        </w:rPr>
        <w:t>user_location is removed from the Request and the SearchContext in FindCare/ClinicalTrials/clinical_trials_models.py, from the echo in clinical_trials_tool.py, and from the header band in ClinicalTrialsWidget.tsx. gender is removed from the widget. The trial page then declares the four values §3.8.1 gives it and no others, and every value the context echoes is a value that reached the registry. Removing rather than wiring: no requirement asks a trial search to narrow by the location of the person, and a parameter no requirement consumes is forbidden by EPIC-006-F-008-S-006-REQ-B-004.</w:t>
      </w:r>
    </w:p>
    <w:p w14:paraId="4D30F8A8" w14:textId="77777777" w:rsidR="00330C1B" w:rsidRDefault="00000000">
      <w:pPr>
        <w:spacing w:before="80"/>
        <w:ind w:left="432"/>
      </w:pPr>
      <w:r>
        <w:rPr>
          <w:b/>
          <w:sz w:val="19"/>
        </w:rPr>
        <w:t xml:space="preserve">EPIC-006-F-005-S-002-REQ-B-009  </w:t>
      </w:r>
      <w:r>
        <w:rPr>
          <w:i/>
          <w:sz w:val="19"/>
        </w:rPr>
        <w:t>"When a trial list cannot be produced or extended, the user MUST be told what was being attempted when it failed."</w:t>
      </w:r>
    </w:p>
    <w:p w14:paraId="6AC02B4E" w14:textId="77777777" w:rsidR="00330C1B" w:rsidRDefault="00000000">
      <w:r>
        <w:t>The failure is named at the point it is raised and carried outward, not replaced by a generic message. The tool converts a registry failure into a ChatHealthyException whose mode names the stage, the gateway turns that into the turn's error event, and the trial panel renders it as a statement of what was being attempted — producing a list for a condition, or extending one — rather than a status code.</w:t>
      </w:r>
    </w:p>
    <w:p w14:paraId="694A4D37" w14:textId="77777777" w:rsidR="00330C1B" w:rsidRDefault="00000000">
      <w:pPr>
        <w:ind w:left="432"/>
      </w:pPr>
      <w:r>
        <w:rPr>
          <w:b/>
          <w:color w:val="990000"/>
        </w:rPr>
        <w:t xml:space="preserve">Code contradicts this design: </w:t>
      </w:r>
      <w:r>
        <w:rPr>
          <w:color w:val="990000"/>
        </w:rPr>
        <w:t>The trial widget subscribes to no error event and has no error rendering path, so a failed or extended-and-failed list leaves the panel as it was.</w:t>
      </w:r>
    </w:p>
    <w:p w14:paraId="628116D0" w14:textId="77777777" w:rsidR="00330C1B" w:rsidRDefault="00000000">
      <w:pPr>
        <w:ind w:left="432"/>
      </w:pPr>
      <w:r>
        <w:rPr>
          <w:b/>
          <w:color w:val="005500"/>
        </w:rPr>
        <w:t>Designed change C-11</w:t>
      </w:r>
      <w:r>
        <w:rPr>
          <w:color w:val="005500"/>
          <w:sz w:val="18"/>
        </w:rPr>
        <w:t xml:space="preserve">  (owner: EPIC-006)  </w:t>
      </w:r>
      <w:r>
        <w:rPr>
          <w:color w:val="005500"/>
        </w:rPr>
        <w:t>ClinicalTrialsWidget.tsx subscribes to router:error alongside the result event it already takes, and renders the failure in the panel where the list would be, naming what was attempted. The naming is carried, not composed: clinical_trials_tool.py raises ChatHealthyException with a mode distinguishing a list that could not be produced from one that could not be extended, and the router puts that mode on the error event. The widget selects its wording from the mode and invents no text of its own, so what the person is told is decided where the failure happened.</w:t>
      </w:r>
    </w:p>
    <w:p w14:paraId="0D550F9E" w14:textId="77777777" w:rsidR="00330C1B" w:rsidRDefault="00000000">
      <w:pPr>
        <w:pStyle w:val="Heading2"/>
      </w:pPr>
      <w:r>
        <w:t>3.6 F-004 — Manage Front End Clinical Trial Detail</w:t>
      </w:r>
    </w:p>
    <w:p w14:paraId="1344E303" w14:textId="77777777" w:rsidR="00330C1B" w:rsidRDefault="00000000">
      <w:pPr>
        <w:spacing w:before="80"/>
        <w:ind w:left="432"/>
      </w:pPr>
      <w:r>
        <w:rPr>
          <w:b/>
          <w:sz w:val="19"/>
        </w:rPr>
        <w:t xml:space="preserve">EPIC-006-F-004-S-001-REQ-B-005  </w:t>
      </w:r>
      <w:r>
        <w:rPr>
          <w:i/>
          <w:sz w:val="19"/>
        </w:rPr>
        <w:t>"When a user opens a trial, every section the trial holds MUST be shown."</w:t>
      </w:r>
    </w:p>
    <w:p w14:paraId="54C5AFEC" w14:textId="77777777" w:rsidR="00330C1B" w:rsidRDefault="00000000">
      <w:r>
        <w:t>The detail renders the sections the trial carries and omits the sections it does not, which is the difference between showing every section held and showing a fixed set of headings with empty bodies. Because the list fetch already carried the whole trial (§3.5), opening a detail is a render and not a request, so no section can be missing because a second call did not return it.</w:t>
      </w:r>
    </w:p>
    <w:p w14:paraId="3EFAD5AA" w14:textId="77777777" w:rsidR="00330C1B" w:rsidRDefault="00000000">
      <w:pPr>
        <w:spacing w:before="80"/>
        <w:ind w:left="432"/>
      </w:pPr>
      <w:r>
        <w:rPr>
          <w:b/>
          <w:sz w:val="19"/>
        </w:rPr>
        <w:t xml:space="preserve">EPIC-006-F-004-S-001-REQ-B-006  </w:t>
      </w:r>
      <w:r>
        <w:rPr>
          <w:i/>
          <w:sz w:val="19"/>
        </w:rPr>
        <w:t>"A user MUST be able to reach any section of the trial they are viewing without reading through the sections before it."</w:t>
      </w:r>
    </w:p>
    <w:p w14:paraId="37E3A7EF" w14:textId="77777777" w:rsidR="00330C1B" w:rsidRDefault="00000000">
      <w:r>
        <w:t>Every section heading is emitted with an anchor derived from its own title, and the right panel lists those anchors as the trial's sections. The list is generated from the sections that were rendered, not from a fixed menu, so it cannot offer a jump to a section this trial does not hold. It is suppressed when the trial holds only one section, because a jump list with one entry is not navigation.</w:t>
      </w:r>
    </w:p>
    <w:p w14:paraId="33AE591C" w14:textId="77777777" w:rsidR="00330C1B" w:rsidRDefault="00000000">
      <w:pPr>
        <w:spacing w:before="80"/>
        <w:ind w:left="432"/>
      </w:pPr>
      <w:r>
        <w:rPr>
          <w:b/>
          <w:sz w:val="19"/>
        </w:rPr>
        <w:t xml:space="preserve">EPIC-006-F-004-S-001-REQ-B-007  </w:t>
      </w:r>
      <w:r>
        <w:rPr>
          <w:i/>
          <w:sz w:val="19"/>
        </w:rPr>
        <w:t>"A user viewing a trial MUST be able to tell, from the list they chose it from, which trial they are viewing."</w:t>
      </w:r>
    </w:p>
    <w:p w14:paraId="429D667B" w14:textId="77777777" w:rsidR="00330C1B" w:rsidRDefault="00000000">
      <w:r>
        <w:t>The list stays on screen beside the detail and the open trial's row is marked as the open one. The mark is on the row rather than only in the detail's title, because the requirement is that the person can tell from the list — the affordance has to be where they chose.</w:t>
      </w:r>
    </w:p>
    <w:p w14:paraId="2B715853" w14:textId="77777777" w:rsidR="00330C1B" w:rsidRDefault="00000000">
      <w:pPr>
        <w:pStyle w:val="Heading2"/>
      </w:pPr>
      <w:r>
        <w:t>3.7 F-006 and F-007 — Facilities</w:t>
      </w:r>
    </w:p>
    <w:p w14:paraId="36562140" w14:textId="77777777" w:rsidR="00330C1B" w:rsidRDefault="00000000">
      <w:r>
        <w:t>A facility is a legal entity where care is delivered. In the registry it is an organization: the same record shape as a care giver, distinguished by its entity type. The provider collection already holds them, and the front-end provider schema already carries every field these twenty-seven requirements name — the legal business name, the other organization name and its type, the subpart marker, the parent organization's legal business name, the authorized official's name, title and credential, the taxonomy list, the practice addresses with their county enrichment, and the active state. No new store and no new pipeline is required. What is required is that the serving path stop forbidding them.</w:t>
      </w:r>
    </w:p>
    <w:p w14:paraId="21465776" w14:textId="77777777" w:rsidR="00330C1B" w:rsidRDefault="00000000">
      <w:pPr>
        <w:pStyle w:val="Heading3"/>
      </w:pPr>
      <w:r>
        <w:t>3.7.1 The generalisation</w:t>
      </w:r>
    </w:p>
    <w:p w14:paraId="22962116" w14:textId="77777777" w:rsidR="00330C1B" w:rsidRDefault="00000000">
      <w:r>
        <w:t xml:space="preserve">The provider search forbids organizations at three layers, deliberately and by construction: _searchable forces entity_type_code="1", the by-NPI route hardcodes the same constant, and _assert_individuals_only raises a compliance violation if a non-individual is returned. That guard is </w:t>
      </w:r>
      <w:r>
        <w:t>correct while there is one page. The design replaces the constant with the page's entity type, carried as a property of the page (§3.9) rather than as a search argument, and turns the assertion from "every row is an individual" into "every row is the entity type this page asked for". The guard survives with its force intact: a facility search that returned a person is as much a violation as the converse.</w:t>
      </w:r>
    </w:p>
    <w:p w14:paraId="74800CF3" w14:textId="77777777" w:rsidR="00330C1B" w:rsidRDefault="00000000">
      <w:r>
        <w:t>The specialty catalogue is filtered to the individual section in the same way; the catalogue holds the non-individual section, and the facility page reads that one. This is the only semantic step in the facility path, and it is the same step, in the same place, as for care givers.</w:t>
      </w:r>
    </w:p>
    <w:p w14:paraId="6F7DBCD0" w14:textId="77777777" w:rsidR="00330C1B" w:rsidRDefault="00000000">
      <w:pPr>
        <w:ind w:left="432"/>
      </w:pPr>
      <w:r>
        <w:rPr>
          <w:b/>
          <w:color w:val="990000"/>
        </w:rPr>
        <w:t xml:space="preserve">Code contradicts this design: </w:t>
      </w:r>
      <w:r>
        <w:rPr>
          <w:color w:val="990000"/>
        </w:rPr>
        <w:t>None of this is a matter of code that is merely absent. FindCare/ProviderManagement/provider_search_service.py refuses organizations at three layers and would refuse them after a facility page existed: _searchable writes entity_type_code="1" into every filter it returns, Route 1 hardcodes the same constant into its find_one, and _assert_individuals_only raises ChatHealthyException(mode="compliance_violation") on any row that is not an individual. Route 5 writes the constant a fourth time directly into its base filter.</w:t>
      </w:r>
    </w:p>
    <w:p w14:paraId="45C15F30" w14:textId="77777777" w:rsidR="00330C1B" w:rsidRDefault="00000000">
      <w:pPr>
        <w:ind w:left="432"/>
      </w:pPr>
      <w:r>
        <w:rPr>
          <w:b/>
          <w:color w:val="005500"/>
        </w:rPr>
        <w:t>Designed change C-20</w:t>
      </w:r>
      <w:r>
        <w:rPr>
          <w:color w:val="005500"/>
          <w:sz w:val="18"/>
        </w:rPr>
        <w:t xml:space="preserve">  (owner: EPIC-006)  </w:t>
      </w:r>
      <w:r>
        <w:rPr>
          <w:color w:val="005500"/>
        </w:rPr>
        <w:t>The entity type becomes something the caller determines and the service still asserts. _searchable takes the entity type as an argument and writes what it was given rather than a literal, keeping the active-state clause it already applies unchanged. Route 1 passes the same value into its find_one instead of the constant, so an NPI lookup on the facility page finds an organization and the same lookup on the provider page still does not. Route 5 stops writing the constant into its base filter and calls _searchable like every other route, which removes the fourth spelling of the rule. _assert_individuals_only becomes _assert_entity_type, taking the value the caller asked for and raising the same compliance_violation on any row that is not it — the guard keeps its force and gains a second direction, because a facility search returning a person is as much a violation as a provider search returning an organization. The value is not a search argument the caller may omit: it is a property of the page, read from the page the request is dispatched to, so there is no request shape in which it is absent and no default to fall through to.</w:t>
      </w:r>
    </w:p>
    <w:p w14:paraId="266D965F" w14:textId="77777777" w:rsidR="00330C1B" w:rsidRDefault="00000000">
      <w:pPr>
        <w:pStyle w:val="Heading3"/>
      </w:pPr>
      <w:r>
        <w:t>3.7.2 Facility search</w:t>
      </w:r>
    </w:p>
    <w:p w14:paraId="552E7D7F" w14:textId="77777777" w:rsidR="00330C1B" w:rsidRDefault="00000000">
      <w:pPr>
        <w:spacing w:before="80"/>
        <w:ind w:left="432"/>
      </w:pPr>
      <w:r>
        <w:rPr>
          <w:b/>
          <w:sz w:val="19"/>
        </w:rPr>
        <w:t xml:space="preserve">EPIC-006-F-006-S-001-REQ-B-001  </w:t>
      </w:r>
      <w:r>
        <w:rPr>
          <w:i/>
          <w:sz w:val="19"/>
        </w:rPr>
        <w:t>"A facility search MUST return only organizations."</w:t>
      </w:r>
    </w:p>
    <w:p w14:paraId="739159CF" w14:textId="77777777" w:rsidR="00330C1B" w:rsidRDefault="00000000">
      <w:pPr>
        <w:spacing w:before="80"/>
        <w:ind w:left="432"/>
      </w:pPr>
      <w:r>
        <w:rPr>
          <w:b/>
          <w:sz w:val="19"/>
        </w:rPr>
        <w:t xml:space="preserve">EPIC-006-F-006-S-001-REQ-B-005  </w:t>
      </w:r>
      <w:r>
        <w:rPr>
          <w:i/>
          <w:sz w:val="19"/>
        </w:rPr>
        <w:t>"A facility search MUST return only facilities that are currently active."</w:t>
      </w:r>
    </w:p>
    <w:p w14:paraId="2A2F50E3" w14:textId="77777777" w:rsidR="00330C1B" w:rsidRDefault="00000000">
      <w:r>
        <w:t>Both are clauses of _searchable read from the page: the entity type, and the active-state clause that is already applied to care givers. Neither is a filter the caller may pass, because a caller who can pass it can omit it.</w:t>
      </w:r>
    </w:p>
    <w:p w14:paraId="743EE383" w14:textId="77777777" w:rsidR="00330C1B" w:rsidRDefault="00000000">
      <w:pPr>
        <w:spacing w:before="80"/>
        <w:ind w:left="432"/>
      </w:pPr>
      <w:r>
        <w:rPr>
          <w:b/>
          <w:sz w:val="19"/>
        </w:rPr>
        <w:t xml:space="preserve">EPIC-006-F-006-S-001-REQ-B-002  </w:t>
      </w:r>
      <w:r>
        <w:rPr>
          <w:i/>
          <w:sz w:val="19"/>
        </w:rPr>
        <w:t>"The result set of a facility search naming a facility MUST be exactly those facilities whose legal business name or whose other organization name matches the name given."</w:t>
      </w:r>
    </w:p>
    <w:p w14:paraId="2BAB0AA2" w14:textId="77777777" w:rsidR="00330C1B" w:rsidRDefault="00000000">
      <w:r>
        <w:t>The organization analogue of _name_filter. A person names an organization with one string, and the registry holds two names for it, so the clause is a disjunction over both fields — matching either is matching. "Exactly those" makes this a filter and not a ranking: the result set is defined by the predicate, so no score orders it and nothing is admitted for being close.</w:t>
      </w:r>
    </w:p>
    <w:p w14:paraId="5BC3AE02" w14:textId="77777777" w:rsidR="00330C1B" w:rsidRDefault="00000000">
      <w:pPr>
        <w:spacing w:before="80"/>
        <w:ind w:left="432"/>
      </w:pPr>
      <w:r>
        <w:rPr>
          <w:b/>
          <w:sz w:val="19"/>
        </w:rPr>
        <w:t xml:space="preserve">EPIC-006-F-006-S-001-REQ-B-003  </w:t>
      </w:r>
      <w:r>
        <w:rPr>
          <w:i/>
          <w:sz w:val="19"/>
        </w:rPr>
        <w:t>"The result set of a facility search naming one or more taxonomies MUST be exactly those facilities carrying at least one of them."</w:t>
      </w:r>
    </w:p>
    <w:p w14:paraId="7CF775AA" w14:textId="77777777" w:rsidR="00330C1B" w:rsidRDefault="00000000">
      <w:r>
        <w:t>An intersection against the facility's taxonomy list, identical in form to the care-giver taxonomy clause: at least one, not all.</w:t>
      </w:r>
    </w:p>
    <w:p w14:paraId="3C69ED06" w14:textId="77777777" w:rsidR="00330C1B" w:rsidRDefault="00000000">
      <w:pPr>
        <w:spacing w:before="80"/>
        <w:ind w:left="432"/>
      </w:pPr>
      <w:r>
        <w:rPr>
          <w:b/>
          <w:sz w:val="19"/>
        </w:rPr>
        <w:t xml:space="preserve">EPIC-006-F-006-S-001-REQ-B-004  </w:t>
      </w:r>
      <w:r>
        <w:rPr>
          <w:i/>
          <w:sz w:val="19"/>
        </w:rPr>
        <w:t>"The result set of a facility search naming a geography MUST be exactly those facilities holding at least one practice location in that geography. A business address MUST NOT place a facility in a geography."</w:t>
      </w:r>
    </w:p>
    <w:p w14:paraId="46B6D92B" w14:textId="77777777" w:rsidR="00330C1B" w:rsidRDefault="00000000">
      <w:r>
        <w:t>_practice_address_filter already satisfies the second sentence by construction: it matches an element of practice_addresses and never reads the business address. This matters more for an organization than for a person, because an organization's business address is frequently a corporate headquarters in a state where it delivers no care.</w:t>
      </w:r>
    </w:p>
    <w:p w14:paraId="6FB6263A" w14:textId="77777777" w:rsidR="00330C1B" w:rsidRDefault="00000000">
      <w:pPr>
        <w:spacing w:before="80"/>
        <w:ind w:left="432"/>
      </w:pPr>
      <w:r>
        <w:rPr>
          <w:b/>
          <w:sz w:val="19"/>
        </w:rPr>
        <w:t xml:space="preserve">EPIC-006-F-006-S-001-REQ-B-008  </w:t>
      </w:r>
      <w:r>
        <w:rPr>
          <w:i/>
          <w:sz w:val="19"/>
        </w:rPr>
        <w:t>"A user MUST be able to find a facility by naming the person who administers it, in whatever form the user gives that name."</w:t>
      </w:r>
    </w:p>
    <w:p w14:paraId="39E57695" w14:textId="77777777" w:rsidR="00330C1B" w:rsidRDefault="00000000">
      <w:r>
        <w:t>The record carries the authorized official's last, first and middle names as separate fields. "In whatever form the user gives that name" means the person may give one name or several, in either order, and the design does not require them to say which is which: the utterance manager decomposes the name into the same structured shape it already produces for a care giver's name, and the clause matches each part against either the corresponding field or its initial. This is a structured match on registry fields, not a text search.</w:t>
      </w:r>
    </w:p>
    <w:p w14:paraId="3303012E" w14:textId="77777777" w:rsidR="00330C1B" w:rsidRDefault="00000000">
      <w:pPr>
        <w:pStyle w:val="Heading3"/>
      </w:pPr>
      <w:r>
        <w:t>3.7.3 The facility row and the selection</w:t>
      </w:r>
    </w:p>
    <w:p w14:paraId="15510D64" w14:textId="77777777" w:rsidR="00330C1B" w:rsidRDefault="00000000">
      <w:pPr>
        <w:spacing w:before="80"/>
        <w:ind w:left="432"/>
      </w:pPr>
      <w:r>
        <w:rPr>
          <w:b/>
          <w:sz w:val="19"/>
        </w:rPr>
        <w:t xml:space="preserve">EPIC-006-F-006-S-002-REQ-B-007  </w:t>
      </w:r>
      <w:r>
        <w:rPr>
          <w:i/>
          <w:sz w:val="19"/>
        </w:rPr>
        <w:t>"A facility row MUST show exactly these five things and nothing else: the facility; how many practice addresses it has; its primary practice address; its facility type, being the label of its primary taxonomy; and a link to its detail."</w:t>
      </w:r>
    </w:p>
    <w:p w14:paraId="617B7A56" w14:textId="77777777" w:rsidR="00330C1B" w:rsidRDefault="00000000">
      <w:r>
        <w:t>"Exactly five and nothing else" is enforced in the projection, not in the renderer, because a renderer that is sent a sixth field is one edit away from painting it. The address count is a length of the list the record already carries. The facility type is the label of the primary taxonomy, resolved server-side against the specialty catalogue, for the same reason the chosen specialty is resolved server-side in §3.2.3: the server holds the catalogue.</w:t>
      </w:r>
    </w:p>
    <w:p w14:paraId="59111A3F" w14:textId="77777777" w:rsidR="00330C1B" w:rsidRDefault="00000000">
      <w:pPr>
        <w:spacing w:before="80"/>
        <w:ind w:left="432"/>
      </w:pPr>
      <w:r>
        <w:rPr>
          <w:b/>
          <w:sz w:val="19"/>
        </w:rPr>
        <w:t xml:space="preserve">EPIC-006-F-006-S-003-REQ-B-003  </w:t>
      </w:r>
      <w:r>
        <w:rPr>
          <w:i/>
          <w:sz w:val="19"/>
        </w:rPr>
        <w:t>"A user MUST be able to remove one selected facility in a single action."</w:t>
      </w:r>
    </w:p>
    <w:p w14:paraId="0028B709" w14:textId="77777777" w:rsidR="00330C1B" w:rsidRDefault="00000000">
      <w:pPr>
        <w:spacing w:before="80"/>
        <w:ind w:left="432"/>
      </w:pPr>
      <w:r>
        <w:rPr>
          <w:b/>
          <w:sz w:val="19"/>
        </w:rPr>
        <w:t xml:space="preserve">EPIC-006-F-006-S-003-REQ-B-004  </w:t>
      </w:r>
      <w:r>
        <w:rPr>
          <w:i/>
          <w:sz w:val="19"/>
        </w:rPr>
        <w:t>"A row of the selected-facility set MUST show exactly the legal business name and the NPI."</w:t>
      </w:r>
    </w:p>
    <w:p w14:paraId="35028712" w14:textId="77777777" w:rsidR="00330C1B" w:rsidRDefault="00000000">
      <w:r>
        <w:t>Facility selection is the care-giver selection of §3.2.5 with its own set: one server-side writer, one deselect verb that takes an NPI and removes it, persisted with the session. The selected row is a second, narrower projection carrying two fields — the selected row is a reminder of what was chosen, not a second result row.</w:t>
      </w:r>
    </w:p>
    <w:p w14:paraId="3D049D39" w14:textId="77777777" w:rsidR="00330C1B" w:rsidRDefault="00000000">
      <w:pPr>
        <w:pStyle w:val="Heading3"/>
      </w:pPr>
      <w:r>
        <w:t>3.7.4 The facility summary</w:t>
      </w:r>
    </w:p>
    <w:p w14:paraId="75107A35" w14:textId="77777777" w:rsidR="00330C1B" w:rsidRDefault="00000000">
      <w:pPr>
        <w:spacing w:before="80"/>
        <w:ind w:left="432"/>
      </w:pPr>
      <w:r>
        <w:rPr>
          <w:b/>
          <w:sz w:val="19"/>
        </w:rPr>
        <w:t xml:space="preserve">EPIC-006-F-006-S-004-REQ-B-001  </w:t>
      </w:r>
      <w:r>
        <w:rPr>
          <w:i/>
          <w:sz w:val="19"/>
        </w:rPr>
        <w:t>"The summary MUST use the words the user searched with."</w:t>
      </w:r>
    </w:p>
    <w:p w14:paraId="142D2FAE" w14:textId="77777777" w:rsidR="00330C1B" w:rsidRDefault="00000000">
      <w:pPr>
        <w:spacing w:before="80"/>
        <w:ind w:left="432"/>
      </w:pPr>
      <w:r>
        <w:rPr>
          <w:b/>
          <w:sz w:val="19"/>
        </w:rPr>
        <w:t xml:space="preserve">EPIC-006-F-006-S-004-REQ-B-002  </w:t>
      </w:r>
      <w:r>
        <w:rPr>
          <w:i/>
          <w:sz w:val="19"/>
        </w:rPr>
        <w:t>"The summary MUST state how many facilities matched beyond those on screen."</w:t>
      </w:r>
    </w:p>
    <w:p w14:paraId="248AD365" w14:textId="77777777" w:rsidR="00330C1B" w:rsidRDefault="00000000">
      <w:pPr>
        <w:spacing w:before="80"/>
        <w:ind w:left="432"/>
      </w:pPr>
      <w:r>
        <w:rPr>
          <w:b/>
          <w:sz w:val="19"/>
        </w:rPr>
        <w:t xml:space="preserve">EPIC-006-F-006-S-004-REQ-B-003  </w:t>
      </w:r>
      <w:r>
        <w:rPr>
          <w:i/>
          <w:sz w:val="19"/>
        </w:rPr>
        <w:t>"The summary MUST name exactly the geography the search used, and no other."</w:t>
      </w:r>
    </w:p>
    <w:p w14:paraId="7CDC9178" w14:textId="77777777" w:rsidR="00330C1B" w:rsidRDefault="00000000">
      <w:pPr>
        <w:spacing w:before="80"/>
        <w:ind w:left="432"/>
      </w:pPr>
      <w:r>
        <w:rPr>
          <w:b/>
          <w:sz w:val="19"/>
        </w:rPr>
        <w:t xml:space="preserve">EPIC-006-F-006-S-004-REQ-B-004  </w:t>
      </w:r>
      <w:r>
        <w:rPr>
          <w:i/>
          <w:sz w:val="19"/>
        </w:rPr>
        <w:t>"The summary MUST offer exactly those ways of narrowing the search the user has not already used."</w:t>
      </w:r>
    </w:p>
    <w:p w14:paraId="34C5A93F" w14:textId="77777777" w:rsidR="00330C1B" w:rsidRDefault="00000000">
      <w:r>
        <w:t>One construction, parameterised by page. The summary builder of §3.2.6 takes the page's noun, the page's search term, the page's total and page count, and the page's geography, and the four requirements above are the same four the care-giver summary meets. B-003 is stricter than its care-giver analogue and states the rule the shared implementation must follow: the geography named is the geography the query used, read back from the clause that was built, so a geography the person supplied and the query ignored is not reported as though it had narrowed anything. B-004 is likewise the corrected form of EPIC-006-F-001-S-005-REQ-B-008 — each dimension is offered only when the geography does not already carry it, the postal code included.</w:t>
      </w:r>
    </w:p>
    <w:p w14:paraId="1DFAAB15" w14:textId="77777777" w:rsidR="00330C1B" w:rsidRDefault="00000000">
      <w:pPr>
        <w:pStyle w:val="Heading3"/>
      </w:pPr>
      <w:r>
        <w:t>3.7.5 Facility detail</w:t>
      </w:r>
    </w:p>
    <w:p w14:paraId="34820C43" w14:textId="77777777" w:rsidR="00330C1B" w:rsidRDefault="00000000">
      <w:pPr>
        <w:spacing w:before="80"/>
        <w:ind w:left="432"/>
      </w:pPr>
      <w:r>
        <w:rPr>
          <w:b/>
          <w:sz w:val="19"/>
        </w:rPr>
        <w:t xml:space="preserve">EPIC-006-F-007-S-001-REQ-B-001  </w:t>
      </w:r>
      <w:r>
        <w:rPr>
          <w:i/>
          <w:sz w:val="19"/>
        </w:rPr>
        <w:t>"A Facility Detail MUST show every value it shows on the same terms EPIC-006-F-002-S-001 requires of a Provider Detail, except where this story states otherwise."</w:t>
      </w:r>
    </w:p>
    <w:p w14:paraId="7C1D32B0" w14:textId="77777777" w:rsidR="00330C1B" w:rsidRDefault="00000000">
      <w:r>
        <w:t>The panel is the provider panel with the identity block exchanged. Addresses labelled by type with county and urban standing, licences, payer identifiers never presented as network membership, empty sections shown empty rather than replaced by prose, and independent verification destinations — all of §3.3.1 applies unchanged and is not restated. This requirement inherits the obligation, not the implementation: the defects recorded against the provider panel in §3.3.1 are defects here too.</w:t>
      </w:r>
    </w:p>
    <w:p w14:paraId="072E8DAA" w14:textId="77777777" w:rsidR="00330C1B" w:rsidRDefault="00000000">
      <w:pPr>
        <w:spacing w:before="80"/>
        <w:ind w:left="432"/>
      </w:pPr>
      <w:r>
        <w:rPr>
          <w:b/>
          <w:sz w:val="19"/>
        </w:rPr>
        <w:t xml:space="preserve">EPIC-006-F-007-S-001-REQ-B-002  </w:t>
      </w:r>
      <w:r>
        <w:rPr>
          <w:i/>
          <w:sz w:val="19"/>
        </w:rPr>
        <w:t>"In place of a provider's personal identity, the panel MUST show the legal business name; the other organization name where the record carries one; the label of what kind of name that other name is; the NPI; the date the NPI was issued; and whether the facility is currently active."</w:t>
      </w:r>
    </w:p>
    <w:p w14:paraId="1FFD72D3" w14:textId="77777777" w:rsidR="00330C1B" w:rsidRDefault="00000000">
      <w:r>
        <w:t>A second identity projection selected by entity type. The other organization name is conditional on the record carrying one, and its kind is a coded field rendered as its label, because a code shown raw tells the person nothing.</w:t>
      </w:r>
    </w:p>
    <w:p w14:paraId="592AC7BE" w14:textId="77777777" w:rsidR="00330C1B" w:rsidRDefault="00000000">
      <w:pPr>
        <w:spacing w:before="80"/>
        <w:ind w:left="432"/>
      </w:pPr>
      <w:r>
        <w:rPr>
          <w:b/>
          <w:sz w:val="19"/>
        </w:rPr>
        <w:t xml:space="preserve">EPIC-006-F-007-S-001-REQ-B-003  </w:t>
      </w:r>
      <w:r>
        <w:rPr>
          <w:i/>
          <w:sz w:val="19"/>
        </w:rPr>
        <w:t>"When the record marks the facility as a subpart, the panel MUST show the parent organization's legal business name."</w:t>
      </w:r>
    </w:p>
    <w:p w14:paraId="593D9B9D" w14:textId="77777777" w:rsidR="00330C1B" w:rsidRDefault="00000000">
      <w:r>
        <w:t>Conditional on the subpart marker the record carries, and showing the parent's name — never its identifier.</w:t>
      </w:r>
    </w:p>
    <w:p w14:paraId="2B87BCD7" w14:textId="77777777" w:rsidR="00330C1B" w:rsidRDefault="00000000">
      <w:pPr>
        <w:spacing w:before="80"/>
        <w:ind w:left="432"/>
      </w:pPr>
      <w:r>
        <w:rPr>
          <w:b/>
          <w:sz w:val="19"/>
        </w:rPr>
        <w:t xml:space="preserve">EPIC-006-F-007-S-001-REQ-B-005  </w:t>
      </w:r>
      <w:r>
        <w:rPr>
          <w:i/>
          <w:sz w:val="19"/>
        </w:rPr>
        <w:t>"The federal employer identification number and the parent organization's taxpayer identification number MUST NOT be shown, transmitted or stored, whatever any upstream response contains."</w:t>
      </w:r>
    </w:p>
    <w:p w14:paraId="11643FAD" w14:textId="77777777" w:rsidR="00330C1B" w:rsidRDefault="00000000">
      <w:r>
        <w:t xml:space="preserve">Three prohibitions, so three enforcement points, and the outermost is the one that matters. Not stored: neither field is in the front-end provider schema, so the record cannot carry them. Not transmitted: the upkeep cycle of §3.7.6 copies registry fields by an allowlist, so a tax identifier in a registry response is not merged and does not reach the record. Not shown: the identity projection </w:t>
      </w:r>
      <w:r>
        <w:t>does not name them. The allowlist is the load-bearing control — a denylist would have to be updated every time an upstream response grew a field.</w:t>
      </w:r>
    </w:p>
    <w:p w14:paraId="4DEB92D5" w14:textId="77777777" w:rsidR="00330C1B" w:rsidRDefault="00000000">
      <w:pPr>
        <w:ind w:left="432"/>
      </w:pPr>
      <w:r>
        <w:rPr>
          <w:b/>
          <w:color w:val="990000"/>
        </w:rPr>
        <w:t xml:space="preserve">Code contradicts this design: </w:t>
      </w:r>
      <w:r>
        <w:rPr>
          <w:color w:val="990000"/>
        </w:rPr>
        <w:t>ChatHealthyLib/src/chathealthy_lib/provider_embedding.py, which is declared in the FindCare target's file manifest, still reads employer_identification_number_ein and parent_organization_tin from the record and emits both into its projection and its field list, although the schema no longer declares either.</w:t>
      </w:r>
    </w:p>
    <w:p w14:paraId="616CDE0D" w14:textId="77777777" w:rsidR="00330C1B" w:rsidRDefault="00000000">
      <w:pPr>
        <w:ind w:left="432"/>
      </w:pPr>
      <w:r>
        <w:rPr>
          <w:b/>
          <w:color w:val="005500"/>
        </w:rPr>
        <w:t>Designed change C-12</w:t>
      </w:r>
      <w:r>
        <w:rPr>
          <w:color w:val="005500"/>
          <w:sz w:val="18"/>
        </w:rPr>
        <w:t xml:space="preserve">  (owner: EPIC-003 owns the library; the field set is shared with the EPIC-010 pipeline that writes the record)  </w:t>
      </w:r>
      <w:r>
        <w:rPr>
          <w:color w:val="005500"/>
        </w:rPr>
        <w:t>ChatHealthyLib/src/chathealthy_lib/provider_embedding.py drops the ein and parent_organization_tin entries from the projection it builds and from the ordered field list beneath it, leaving the organization branch carrying organization_name, other_organization_name, other_organization_name_type, is_organization_subpart, parent_organization_name and authorized_official. Both reads are already dead — the schema stopped declaring either field — so this removes a projection of nothing; the reason to remove it is that the same module is the field partition C-13a and §3.7.7 read to decide what may be written to an organization record, and a partition that still names a tax identifier would readmit one.</w:t>
      </w:r>
    </w:p>
    <w:p w14:paraId="288F8F69" w14:textId="77777777" w:rsidR="00330C1B" w:rsidRDefault="00000000">
      <w:pPr>
        <w:spacing w:before="80"/>
        <w:ind w:left="432"/>
      </w:pPr>
      <w:r>
        <w:rPr>
          <w:b/>
          <w:sz w:val="19"/>
        </w:rPr>
        <w:t xml:space="preserve">EPIC-006-F-007-S-001-REQ-B-006  </w:t>
      </w:r>
      <w:r>
        <w:rPr>
          <w:i/>
          <w:sz w:val="19"/>
        </w:rPr>
        <w:t>"The panel MUST offer a destination at which the user can independently confirm that this NPI is enumerated and that the organization we name is the organization it is enumerated to."</w:t>
      </w:r>
    </w:p>
    <w:p w14:paraId="267D7E32" w14:textId="77777777" w:rsidR="00330C1B" w:rsidRDefault="00000000">
      <w:pPr>
        <w:spacing w:before="80"/>
        <w:ind w:left="432"/>
      </w:pPr>
      <w:r>
        <w:rPr>
          <w:b/>
          <w:sz w:val="19"/>
        </w:rPr>
        <w:t xml:space="preserve">EPIC-006-F-007-S-001-REQ-B-007  </w:t>
      </w:r>
      <w:r>
        <w:rPr>
          <w:i/>
          <w:sz w:val="19"/>
        </w:rPr>
        <w:t>"The panel MUST offer a destination at the authority that licenses or certifies facilities in the state of the facility's primary practice location, at which the user can independently confirm the facility's standing to operate there. Every state, the District of Columbia and every outlying sovereignty in which a facility may hold a practice location MUST be covered."</w:t>
      </w:r>
    </w:p>
    <w:p w14:paraId="375F0FD8" w14:textId="77777777" w:rsidR="00330C1B" w:rsidRDefault="00000000">
      <w:r>
        <w:t>The enumeration destination is the registry's search for this NPI, as for a care giver. The licensing destination is a second table beside STATE_BOARDS, keyed the same way and complete over the same domain, because the authority that licenses a person is generally not the authority that licenses a place — a state medical board licenses a physician and a state health department licenses a facility. Reusing the practitioner table here would send a person to an authority that has no record of the facility. Quality, ratings and complaint history are not offered from this panel; scoring and ranking care by quality measures is EPIC-001's capability.</w:t>
      </w:r>
    </w:p>
    <w:p w14:paraId="54EF967A" w14:textId="77777777" w:rsidR="00330C1B" w:rsidRDefault="00000000">
      <w:pPr>
        <w:spacing w:before="80"/>
        <w:ind w:left="432"/>
      </w:pPr>
      <w:r>
        <w:rPr>
          <w:b/>
          <w:sz w:val="19"/>
        </w:rPr>
        <w:t xml:space="preserve">EPIC-006-F-007-S-001-REQ-B-008  </w:t>
      </w:r>
      <w:r>
        <w:rPr>
          <w:i/>
          <w:sz w:val="19"/>
        </w:rPr>
        <w:t>"For every kind of facility the record carries, the panel MUST show the classification label, the specialization where the record carries one, and the plain-language definition of that kind of facility."</w:t>
      </w:r>
    </w:p>
    <w:p w14:paraId="066CAB54" w14:textId="77777777" w:rsidR="00330C1B" w:rsidRDefault="00000000">
      <w:r>
        <w:t>The three values are carried on the record, resolved and labelled when the record is written. FindCare shows what the record carries and resolves nothing at display time — a definition looked up while the panel paints is a second dependency in the click path, and the panel must render when that dependency is unavailable.</w:t>
      </w:r>
    </w:p>
    <w:p w14:paraId="11F5634D" w14:textId="77777777" w:rsidR="00330C1B" w:rsidRDefault="00000000">
      <w:pPr>
        <w:spacing w:before="80"/>
        <w:ind w:left="432"/>
      </w:pPr>
      <w:r>
        <w:rPr>
          <w:b/>
          <w:sz w:val="19"/>
        </w:rPr>
        <w:t xml:space="preserve">EPIC-006-F-007-S-001-REQ-B-009  </w:t>
      </w:r>
      <w:r>
        <w:rPr>
          <w:i/>
          <w:sz w:val="19"/>
        </w:rPr>
        <w:t>"A Facility Detail MUST display every value the record carries for the facility."</w:t>
      </w:r>
    </w:p>
    <w:p w14:paraId="0DEF33C7" w14:textId="77777777" w:rsidR="00330C1B" w:rsidRDefault="00000000">
      <w:r>
        <w:t xml:space="preserve">The panel is a complete rendering of the record and not a selected view of it. This and B-005 do not conflict, because a value the record must not carry is not a value the record carries: B-005 is a </w:t>
      </w:r>
      <w:r>
        <w:t>constraint on what is written, and B-009 is a statement about what is shown of what was written. The two together are why the allowlist in §3.7.6 is at the write boundary — once a field is on the record, B-009 requires showing it.</w:t>
      </w:r>
    </w:p>
    <w:p w14:paraId="2CA2129D" w14:textId="77777777" w:rsidR="00330C1B" w:rsidRDefault="00000000">
      <w:pPr>
        <w:pStyle w:val="Heading3"/>
      </w:pPr>
      <w:r>
        <w:t>3.7.6 The authorized official</w:t>
      </w:r>
    </w:p>
    <w:p w14:paraId="60B0E926" w14:textId="77777777" w:rsidR="00330C1B" w:rsidRDefault="00000000">
      <w:pPr>
        <w:spacing w:before="80"/>
        <w:ind w:left="432"/>
      </w:pPr>
      <w:r>
        <w:rPr>
          <w:b/>
          <w:sz w:val="19"/>
        </w:rPr>
        <w:t xml:space="preserve">EPIC-006-F-007-S-002-REQ-B-001  </w:t>
      </w:r>
      <w:r>
        <w:rPr>
          <w:i/>
          <w:sz w:val="19"/>
        </w:rPr>
        <w:t>"The panel MUST show the authorized official's last name, first name, middle name where the record carries one, title or position, and credential."</w:t>
      </w:r>
    </w:p>
    <w:p w14:paraId="7DED4805" w14:textId="77777777" w:rsidR="00330C1B" w:rsidRDefault="00000000">
      <w:pPr>
        <w:spacing w:before="80"/>
        <w:ind w:left="432"/>
      </w:pPr>
      <w:r>
        <w:rPr>
          <w:b/>
          <w:sz w:val="19"/>
        </w:rPr>
        <w:t xml:space="preserve">EPIC-006-F-007-S-002-REQ-B-002  </w:t>
      </w:r>
      <w:r>
        <w:rPr>
          <w:i/>
          <w:sz w:val="19"/>
        </w:rPr>
        <w:t>"The section showing the authorized official MUST be labelled as the record's authorized official."</w:t>
      </w:r>
    </w:p>
    <w:p w14:paraId="12F0D344" w14:textId="77777777" w:rsidR="00330C1B" w:rsidRDefault="00000000">
      <w:r>
        <w:t>Five fields, all on the record, rendered as their own section. The middle name is conditional on the record carrying one; the other four are unconditional. The telephone number the record also carries is not shown, because B-001 names five fields and this is a named person rather than a contact route the person is invited to use.</w:t>
      </w:r>
    </w:p>
    <w:p w14:paraId="3BE59D76" w14:textId="77777777" w:rsidR="00330C1B" w:rsidRDefault="00000000">
      <w:r>
        <w:t>The label is load-bearing and is the whole of B-002. The record carries an administrative contact as a person distinct from the authorized official, so labelling this section as the administrative contact would name one person with another's role. The section is labelled as the record's authorized official — the role the registry recorded — and not as the facility's manager, owner or contact, none of which the registry asserts. The same person is what makes the facility findable by administrator name in §3.7.2, and both read the same fields.</w:t>
      </w:r>
    </w:p>
    <w:p w14:paraId="72D695D3" w14:textId="77777777" w:rsidR="00330C1B" w:rsidRDefault="00000000">
      <w:pPr>
        <w:pStyle w:val="Heading3"/>
      </w:pPr>
      <w:r>
        <w:t>3.7.7 Keeping the facility record true</w:t>
      </w:r>
    </w:p>
    <w:p w14:paraId="2D3EB750" w14:textId="77777777" w:rsidR="00330C1B" w:rsidRDefault="00000000">
      <w:pPr>
        <w:spacing w:before="80"/>
        <w:ind w:left="432"/>
      </w:pPr>
      <w:r>
        <w:rPr>
          <w:b/>
          <w:sz w:val="19"/>
        </w:rPr>
        <w:t xml:space="preserve">EPIC-006-F-007-S-003-REQ-B-001  </w:t>
      </w:r>
      <w:r>
        <w:rPr>
          <w:i/>
          <w:sz w:val="19"/>
        </w:rPr>
        <w:t>"The record behind a Facility Detail MUST be maintained on the same terms EPIC-006-F-002-S-002 requires of an individual provider record."</w:t>
      </w:r>
    </w:p>
    <w:p w14:paraId="5A0B550C" w14:textId="77777777" w:rsidR="00330C1B" w:rsidRDefault="00000000">
      <w:r>
        <w:t>The same four-step cycle: live registry query by NPI, comparison against the stored record, write-back on divergence, render from the record. The registry query is by NPI and is indifferent to entity type, so the query itself needs nothing added.</w:t>
      </w:r>
    </w:p>
    <w:p w14:paraId="7FCA9728" w14:textId="77777777" w:rsidR="00330C1B" w:rsidRDefault="00000000">
      <w:pPr>
        <w:spacing w:before="80"/>
        <w:ind w:left="432"/>
      </w:pPr>
      <w:r>
        <w:rPr>
          <w:b/>
          <w:sz w:val="19"/>
        </w:rPr>
        <w:t xml:space="preserve">EPIC-006-F-007-S-003-REQ-B-002  </w:t>
      </w:r>
      <w:r>
        <w:rPr>
          <w:i/>
          <w:sz w:val="19"/>
        </w:rPr>
        <w:t>"No maintenance of a facility record MUST write an individual-only attribute onto it, whatever any upstream response contains."</w:t>
      </w:r>
    </w:p>
    <w:p w14:paraId="1A15C5A8" w14:textId="77777777" w:rsidR="00330C1B" w:rsidRDefault="00000000">
      <w:r>
        <w:t>The merge is field-allowlisted by entity type. The partition already exists and is already written down: provider_embedding.py divides the record into individual-only fields, organization-only fields, and fields common to both. The merge reads that same partition, so there is one statement of which attribute belongs to which kind of record rather than two that can drift. An individual attribute in a registry response for an organization is not merged; the "whatever any upstream response contains" clause is met because the allowlist is consulted instead of the response's field set.</w:t>
      </w:r>
    </w:p>
    <w:p w14:paraId="504C75B4" w14:textId="77777777" w:rsidR="00330C1B" w:rsidRDefault="00000000">
      <w:pPr>
        <w:spacing w:before="80"/>
        <w:ind w:left="432"/>
      </w:pPr>
      <w:r>
        <w:rPr>
          <w:b/>
          <w:sz w:val="19"/>
        </w:rPr>
        <w:t xml:space="preserve">EPIC-006-F-007-S-003-REQ-B-003  </w:t>
      </w:r>
      <w:r>
        <w:rPr>
          <w:i/>
          <w:sz w:val="19"/>
        </w:rPr>
        <w:t>"A Facility Detail MUST NOT be shown for an NPI the authoritative registry reports is not an organization."</w:t>
      </w:r>
    </w:p>
    <w:p w14:paraId="204C52A9" w14:textId="77777777" w:rsidR="00330C1B" w:rsidRDefault="00000000">
      <w:pPr>
        <w:spacing w:before="80"/>
        <w:ind w:left="432"/>
      </w:pPr>
      <w:r>
        <w:rPr>
          <w:b/>
          <w:sz w:val="19"/>
        </w:rPr>
        <w:t xml:space="preserve">EPIC-006-F-007-S-003-REQ-B-004  </w:t>
      </w:r>
      <w:r>
        <w:rPr>
          <w:i/>
          <w:sz w:val="19"/>
        </w:rPr>
        <w:t>"When a Facility Detail is not shown for that reason, the user MUST be told the facility was not found."</w:t>
      </w:r>
    </w:p>
    <w:p w14:paraId="2B0BCFD3" w14:textId="77777777" w:rsidR="00330C1B" w:rsidRDefault="00000000">
      <w:r>
        <w:t xml:space="preserve">The live query already runs before the panel renders, and the registry states the enumeration type on the response. When it reports something other than an organization the panel is not rendered and the person is told the facility was not found. The check is on the live registry answer rather than </w:t>
      </w:r>
      <w:r>
        <w:t>on the stored record, because the stored record is what would be wrong in this case. This is the one condition under which the detail is withheld, and it is distinct from the registry not answering (§3.3.2), where the stored record is shown: not answering leaves us with no reason to doubt the record, whereas answering with a different entity type gives us one. What becomes of the stored record is a data obligation of EPIC-010.</w:t>
      </w:r>
    </w:p>
    <w:p w14:paraId="7F308E7E" w14:textId="77777777" w:rsidR="00330C1B" w:rsidRDefault="00000000">
      <w:pPr>
        <w:pStyle w:val="Heading2"/>
      </w:pPr>
      <w:r>
        <w:t>3.8 F-008 — Manage FindCare Parameters</w:t>
      </w:r>
    </w:p>
    <w:p w14:paraId="04D76480" w14:textId="77777777" w:rsidR="00330C1B" w:rsidRDefault="00000000">
      <w:r>
        <w:t>Forty-two of the hundred and seventeen requirements are here. They replace one model with another: a flat set of globally-scoped parameter names becomes a set of page namespaces, each declaring its own attributes, with carry-over between them stated per parameter and held as data.</w:t>
      </w:r>
    </w:p>
    <w:p w14:paraId="56372531" w14:textId="77777777" w:rsidR="00330C1B" w:rsidRDefault="00000000">
      <w:pPr>
        <w:ind w:left="432"/>
      </w:pPr>
      <w:r>
        <w:rPr>
          <w:b/>
          <w:color w:val="990000"/>
        </w:rPr>
        <w:t xml:space="preserve">Code contradicts this design: </w:t>
      </w:r>
      <w:r>
        <w:rPr>
          <w:color w:val="990000"/>
        </w:rPr>
        <w:t>ChatHealthyLib/src/chathealthy_lib/authentication/user_parameters.py states the opposite as its design: "A parameter is defined once and means the same thing everywhere. Geography is geography whether a provider search or a clinical-trial search reads it." It is a fixed-field pydantic class with one attribute per parameter, and sharedServices/Code/UserParameters/user_parameters_tool.py gates writes against a flat ten-name tuple. Neither can express a page, and neither can express a declaration held as data. This is the single largest divergence between the code and the requirements.</w:t>
      </w:r>
    </w:p>
    <w:p w14:paraId="1C9AA677" w14:textId="77777777" w:rsidR="00330C1B" w:rsidRDefault="00000000">
      <w:pPr>
        <w:ind w:left="432"/>
      </w:pPr>
      <w:r>
        <w:rPr>
          <w:b/>
          <w:color w:val="005500"/>
        </w:rPr>
        <w:t>Designed change C-13</w:t>
      </w:r>
      <w:r>
        <w:rPr>
          <w:color w:val="005500"/>
          <w:sz w:val="18"/>
        </w:rPr>
        <w:t xml:space="preserve">  (owner: EPIC-003 owns the library class; EPIC-002-F-004 and F-010 own the tool and the routes)  </w:t>
      </w:r>
      <w:r>
        <w:rPr>
          <w:color w:val="005500"/>
        </w:rPr>
        <w:t>Designed in full at §3.8.8, in five parts: the class, the declaration in data, the tool, where carry-over is applied, and what happens to a session already holding the old shape.</w:t>
      </w:r>
    </w:p>
    <w:p w14:paraId="73F0D8A7" w14:textId="77777777" w:rsidR="00330C1B" w:rsidRDefault="00000000">
      <w:pPr>
        <w:pStyle w:val="Heading3"/>
      </w:pPr>
      <w:r>
        <w:t>3.8.1 The declaration</w:t>
      </w:r>
    </w:p>
    <w:p w14:paraId="79B46C0F" w14:textId="77777777" w:rsidR="00330C1B" w:rsidRDefault="00000000">
      <w:pPr>
        <w:spacing w:before="80"/>
        <w:ind w:left="432"/>
      </w:pPr>
      <w:r>
        <w:rPr>
          <w:b/>
          <w:sz w:val="19"/>
        </w:rPr>
        <w:t xml:space="preserve">EPIC-006-F-008-S-001-REQ-B-001  </w:t>
      </w:r>
      <w:r>
        <w:rPr>
          <w:i/>
          <w:sz w:val="19"/>
        </w:rPr>
        <w:t>"Every parameter name MUST be a page and an attribute together."</w:t>
      </w:r>
    </w:p>
    <w:p w14:paraId="19A28326" w14:textId="77777777" w:rsidR="00330C1B" w:rsidRDefault="00000000">
      <w:pPr>
        <w:spacing w:before="80"/>
        <w:ind w:left="432"/>
      </w:pPr>
      <w:r>
        <w:rPr>
          <w:b/>
          <w:sz w:val="19"/>
        </w:rPr>
        <w:t xml:space="preserve">EPIC-006-F-008-S-001-REQ-B-002  </w:t>
      </w:r>
      <w:r>
        <w:rPr>
          <w:i/>
          <w:sz w:val="19"/>
        </w:rPr>
        <w:t>"The pages MUST be exactly these four and no others: facility, individualProvider, NUCC, clinicalTrial."</w:t>
      </w:r>
    </w:p>
    <w:p w14:paraId="0A8DFA7C" w14:textId="77777777" w:rsidR="00330C1B" w:rsidRDefault="00000000">
      <w:pPr>
        <w:spacing w:before="80"/>
        <w:ind w:left="432"/>
      </w:pPr>
      <w:r>
        <w:rPr>
          <w:b/>
          <w:sz w:val="19"/>
        </w:rPr>
        <w:t xml:space="preserve">EPIC-006-F-008-S-006-REQ-B-001  </w:t>
      </w:r>
      <w:r>
        <w:rPr>
          <w:i/>
          <w:sz w:val="19"/>
        </w:rPr>
        <w:t>"A parameter named without its page MUST be refused."</w:t>
      </w:r>
    </w:p>
    <w:p w14:paraId="03CF2AF0" w14:textId="77777777" w:rsidR="00330C1B" w:rsidRDefault="00000000">
      <w:r>
        <w:t>A parameter name is a pair, not a string: the page and the attribute. There is no short form and no default page, because a default page is the flat model with a longer spelling — a name that resolves without a page is a name whose scope depends on where it was written.</w:t>
      </w:r>
    </w:p>
    <w:p w14:paraId="3DAEDC08" w14:textId="77777777" w:rsidR="00330C1B" w:rsidRDefault="00000000">
      <w:r>
        <w:t>The four pages are the four things a person can hold an answer about, and they are closed. They are not a configuration: a fifth page is a new feature with its own requirements, so the page set is fixed in the declaration's validation and a name carrying a fifth page is refused before its attribute is examined.</w:t>
      </w:r>
    </w:p>
    <w:p w14:paraId="783BE423" w14:textId="77777777" w:rsidR="00330C1B" w:rsidRDefault="00000000">
      <w:pPr>
        <w:spacing w:before="80"/>
        <w:ind w:left="432"/>
      </w:pPr>
      <w:r>
        <w:rPr>
          <w:b/>
          <w:sz w:val="19"/>
        </w:rPr>
        <w:t xml:space="preserve">EPIC-006-F-008-S-006-REQ-B-004  </w:t>
      </w:r>
      <w:r>
        <w:rPr>
          <w:i/>
          <w:sz w:val="19"/>
        </w:rPr>
        <w:t>"A page MUST declare exactly those parameters its feature's requirements consume, and no others."</w:t>
      </w:r>
    </w:p>
    <w:p w14:paraId="2CAC0CA0" w14:textId="77777777" w:rsidR="00330C1B" w:rsidRDefault="00000000">
      <w:pPr>
        <w:spacing w:before="80"/>
        <w:ind w:left="432"/>
      </w:pPr>
      <w:r>
        <w:rPr>
          <w:b/>
          <w:sz w:val="19"/>
        </w:rPr>
        <w:t xml:space="preserve">EPIC-006-F-008-S-006-REQ-B-005  </w:t>
      </w:r>
      <w:r>
        <w:rPr>
          <w:i/>
          <w:sz w:val="19"/>
        </w:rPr>
        <w:t>"A page MUST NOT declare a parameter whose value is the same for every record that page can return."</w:t>
      </w:r>
    </w:p>
    <w:p w14:paraId="5F6D1DFB" w14:textId="77777777" w:rsidR="00330C1B" w:rsidRDefault="00000000">
      <w:pPr>
        <w:spacing w:before="80"/>
        <w:ind w:left="432"/>
      </w:pPr>
      <w:r>
        <w:rPr>
          <w:b/>
          <w:sz w:val="19"/>
        </w:rPr>
        <w:t xml:space="preserve">EPIC-006-F-008-S-001-REQ-B-004  </w:t>
      </w:r>
      <w:r>
        <w:rPr>
          <w:i/>
          <w:sz w:val="19"/>
        </w:rPr>
        <w:t>"A parameter name naming an attribute that page does not declare MUST be refused."</w:t>
      </w:r>
    </w:p>
    <w:p w14:paraId="78240770" w14:textId="77777777" w:rsidR="00330C1B" w:rsidRDefault="00000000">
      <w:pPr>
        <w:spacing w:before="80"/>
        <w:ind w:left="432"/>
      </w:pPr>
      <w:r>
        <w:rPr>
          <w:b/>
          <w:sz w:val="19"/>
        </w:rPr>
        <w:t xml:space="preserve">EPIC-006-F-008-S-001-REQ-B-003  </w:t>
      </w:r>
      <w:r>
        <w:rPr>
          <w:i/>
          <w:sz w:val="19"/>
        </w:rPr>
        <w:t>"A parameter name naming a page that is not one of the four MUST be refused."</w:t>
      </w:r>
    </w:p>
    <w:p w14:paraId="193E4B0D" w14:textId="77777777" w:rsidR="00330C1B" w:rsidRDefault="00000000">
      <w:r>
        <w:t>Each page declares its attributes, and the declaration is the allowlist: a write naming an attribute the page does not declare is refused, exactly as a write naming a fifth page is. B-004 and B-005 are the two rules that bound what may be declared. B-004 forbids a parameter no requirement consumes — a value nothing reads is a value that can be wrong without anything noticing. B-005 forbids a parameter that narrows nothing: entity type is the worked example, because every record the facility page can return is an organization, so an entity-type parameter on that page would admit a value that makes the page return nothing. Entity type is therefore a property of the page (§3.7.1) and not a parameter of it.</w:t>
      </w:r>
    </w:p>
    <w:p w14:paraId="05D1F2D7" w14:textId="77777777" w:rsidR="00330C1B" w:rsidRDefault="00000000">
      <w:r>
        <w:t>The declaration the four pages carry, derived by applying B-004 to each feature's requirements:</w:t>
      </w:r>
    </w:p>
    <w:tbl>
      <w:tblPr>
        <w:tblStyle w:val="LightGrid-Accent1"/>
        <w:tblW w:w="0" w:type="auto"/>
        <w:tblLook w:val="04A0" w:firstRow="1" w:lastRow="0" w:firstColumn="1" w:lastColumn="0" w:noHBand="0" w:noVBand="1"/>
      </w:tblPr>
      <w:tblGrid>
        <w:gridCol w:w="1872"/>
        <w:gridCol w:w="4608"/>
        <w:gridCol w:w="1440"/>
      </w:tblGrid>
      <w:tr w:rsidR="00330C1B" w14:paraId="12210F7F" w14:textId="77777777" w:rsidTr="00330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25DCFA9" w14:textId="77777777" w:rsidR="00330C1B" w:rsidRDefault="00000000">
            <w:r>
              <w:rPr>
                <w:sz w:val="18"/>
              </w:rPr>
              <w:t>Page</w:t>
            </w:r>
          </w:p>
        </w:tc>
        <w:tc>
          <w:tcPr>
            <w:tcW w:w="4608" w:type="dxa"/>
          </w:tcPr>
          <w:p w14:paraId="43F47104"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Attributes it declares</w:t>
            </w:r>
          </w:p>
        </w:tc>
        <w:tc>
          <w:tcPr>
            <w:tcW w:w="1440" w:type="dxa"/>
          </w:tcPr>
          <w:p w14:paraId="13A09281"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Consumed by</w:t>
            </w:r>
          </w:p>
        </w:tc>
      </w:tr>
      <w:tr w:rsidR="00330C1B" w14:paraId="5E3550DA"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95C2A32" w14:textId="77777777" w:rsidR="00330C1B" w:rsidRDefault="00000000">
            <w:r>
              <w:rPr>
                <w:sz w:val="17"/>
              </w:rPr>
              <w:t>individualProvider</w:t>
            </w:r>
          </w:p>
        </w:tc>
        <w:tc>
          <w:tcPr>
            <w:tcW w:w="4608" w:type="dxa"/>
          </w:tcPr>
          <w:p w14:paraId="7FCB7655"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geography, complaint, selectedSpecialtyCodes, providerName, providerSex, soleProprietor, insurance, selectedNpis, openNpi, position</w:t>
            </w:r>
          </w:p>
        </w:tc>
        <w:tc>
          <w:tcPr>
            <w:tcW w:w="1440" w:type="dxa"/>
          </w:tcPr>
          <w:p w14:paraId="3B87A798"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F-001, F-002</w:t>
            </w:r>
          </w:p>
        </w:tc>
      </w:tr>
      <w:tr w:rsidR="00330C1B" w14:paraId="15074790"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E6BA4D8" w14:textId="77777777" w:rsidR="00330C1B" w:rsidRDefault="00000000">
            <w:r>
              <w:rPr>
                <w:sz w:val="17"/>
              </w:rPr>
              <w:t>facility</w:t>
            </w:r>
          </w:p>
        </w:tc>
        <w:tc>
          <w:tcPr>
            <w:tcW w:w="4608" w:type="dxa"/>
          </w:tcPr>
          <w:p w14:paraId="429FD0A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geography, facilityName, selectedTaxonomyCodes, administratorName, selectedNpis, openNpi, position</w:t>
            </w:r>
          </w:p>
        </w:tc>
        <w:tc>
          <w:tcPr>
            <w:tcW w:w="1440" w:type="dxa"/>
          </w:tcPr>
          <w:p w14:paraId="08147CE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F-006, F-007</w:t>
            </w:r>
          </w:p>
        </w:tc>
      </w:tr>
      <w:tr w:rsidR="00330C1B" w14:paraId="7F2CB4EA"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3511CE7" w14:textId="77777777" w:rsidR="00330C1B" w:rsidRDefault="00000000">
            <w:r>
              <w:rPr>
                <w:sz w:val="17"/>
              </w:rPr>
              <w:t>NUCC</w:t>
            </w:r>
          </w:p>
        </w:tc>
        <w:tc>
          <w:tcPr>
            <w:tcW w:w="4608" w:type="dxa"/>
          </w:tcPr>
          <w:p w14:paraId="69CEAF98"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complaint, offeredSpecialties, selectedSpecialtyCodes</w:t>
            </w:r>
          </w:p>
        </w:tc>
        <w:tc>
          <w:tcPr>
            <w:tcW w:w="1440" w:type="dxa"/>
          </w:tcPr>
          <w:p w14:paraId="393346B7"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F-003</w:t>
            </w:r>
          </w:p>
        </w:tc>
      </w:tr>
      <w:tr w:rsidR="00330C1B" w14:paraId="6536F23F"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1257E6C" w14:textId="77777777" w:rsidR="00330C1B" w:rsidRDefault="00000000">
            <w:r>
              <w:rPr>
                <w:sz w:val="17"/>
              </w:rPr>
              <w:t>clinicalTrial</w:t>
            </w:r>
          </w:p>
        </w:tc>
        <w:tc>
          <w:tcPr>
            <w:tcW w:w="4608" w:type="dxa"/>
          </w:tcPr>
          <w:p w14:paraId="466FFA88"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condition, ageYears, sex, unitedStatesOnly, openNctId, position</w:t>
            </w:r>
          </w:p>
        </w:tc>
        <w:tc>
          <w:tcPr>
            <w:tcW w:w="1440" w:type="dxa"/>
          </w:tcPr>
          <w:p w14:paraId="50EB12A4"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F-005, F-004</w:t>
            </w:r>
          </w:p>
        </w:tc>
      </w:tr>
    </w:tbl>
    <w:p w14:paraId="07F83E78" w14:textId="77777777" w:rsidR="00330C1B" w:rsidRDefault="00000000">
      <w:pPr>
        <w:spacing w:before="80"/>
        <w:ind w:left="432"/>
      </w:pPr>
      <w:r>
        <w:rPr>
          <w:b/>
          <w:sz w:val="19"/>
        </w:rPr>
        <w:t xml:space="preserve">EPIC-006-F-008-S-001-REQ-B-005  </w:t>
      </w:r>
      <w:r>
        <w:rPr>
          <w:i/>
          <w:sz w:val="19"/>
        </w:rPr>
        <w:t>"Setting, clearing or reading a parameter on one page MUST have no effect on any parameter of any other page."</w:t>
      </w:r>
    </w:p>
    <w:p w14:paraId="5981446E" w14:textId="77777777" w:rsidR="00330C1B" w:rsidRDefault="00000000">
      <w:pPr>
        <w:spacing w:before="80"/>
        <w:ind w:left="432"/>
      </w:pPr>
      <w:r>
        <w:rPr>
          <w:b/>
          <w:sz w:val="19"/>
        </w:rPr>
        <w:t xml:space="preserve">EPIC-006-F-008-S-001-REQ-B-006  </w:t>
      </w:r>
      <w:r>
        <w:rPr>
          <w:i/>
          <w:sz w:val="19"/>
        </w:rPr>
        <w:t>"A result set in force on one page MUST NOT be displaced by a result set produced for another page. A user MUST be able to hold a facility answer and an individual-provider answer at the same time."</w:t>
      </w:r>
    </w:p>
    <w:p w14:paraId="4F2B0AB3" w14:textId="77777777" w:rsidR="00330C1B" w:rsidRDefault="00000000">
      <w:pPr>
        <w:spacing w:before="80"/>
        <w:ind w:left="432"/>
      </w:pPr>
      <w:r>
        <w:rPr>
          <w:b/>
          <w:sz w:val="19"/>
        </w:rPr>
        <w:t xml:space="preserve">EPIC-006-F-008-S-006-REQ-B-003  </w:t>
      </w:r>
      <w:r>
        <w:rPr>
          <w:i/>
          <w:sz w:val="19"/>
        </w:rPr>
        <w:t>"A value the previous model held once for the whole session, and that more than one page needs, MUST become one parameter per page."</w:t>
      </w:r>
    </w:p>
    <w:p w14:paraId="41464D98" w14:textId="77777777" w:rsidR="00330C1B" w:rsidRDefault="00000000">
      <w:r>
        <w:t>Independence is structural, not a rule applied on top. Parameters are held in one map per page, so a write addresses one page's map and cannot reach another's; there is no shared slot for a write to collide in. The three values the flat model held once and more than one page needs — geography, the complaint, and the chosen specialty codes — become one parameter per page that needs them, and they are distinct values that happen to share a name.</w:t>
      </w:r>
    </w:p>
    <w:p w14:paraId="411B8E85" w14:textId="77777777" w:rsidR="00330C1B" w:rsidRDefault="00000000">
      <w:r>
        <w:t>B-006 follows from the same structure and extends it to answers. Each page holds its own result set and its own position in it, so a facility answer and a care-giver answer stand together and moving between them displaces neither. Turning one thing a person said into two requests is the utterance manager's work and dispatching both is the router's; FindCare requires only that both answers can stand at once, and this is the structure that lets them.</w:t>
      </w:r>
    </w:p>
    <w:p w14:paraId="59375709" w14:textId="77777777" w:rsidR="00330C1B" w:rsidRDefault="00000000">
      <w:pPr>
        <w:pStyle w:val="Heading3"/>
      </w:pPr>
      <w:r>
        <w:t>3.8.2 The disposition of every name the flat model accepted</w:t>
      </w:r>
    </w:p>
    <w:p w14:paraId="3B12E27D" w14:textId="77777777" w:rsidR="00330C1B" w:rsidRDefault="00000000">
      <w:pPr>
        <w:spacing w:before="80"/>
        <w:ind w:left="432"/>
      </w:pPr>
      <w:r>
        <w:rPr>
          <w:b/>
          <w:sz w:val="19"/>
        </w:rPr>
        <w:t xml:space="preserve">EPIC-006-F-008-S-006-REQ-B-002  </w:t>
      </w:r>
      <w:r>
        <w:rPr>
          <w:i/>
          <w:sz w:val="19"/>
        </w:rPr>
        <w:t>"Every parameter name the previous model accepted MUST have a stated disposition: a page-qualified successor, or withdrawal."</w:t>
      </w:r>
    </w:p>
    <w:p w14:paraId="5E87B6AA" w14:textId="77777777" w:rsidR="00330C1B" w:rsidRDefault="00000000">
      <w:r>
        <w:t>The flat model accepted ten names. Each is disposed of here.</w:t>
      </w:r>
    </w:p>
    <w:tbl>
      <w:tblPr>
        <w:tblStyle w:val="LightGrid-Accent1"/>
        <w:tblW w:w="0" w:type="auto"/>
        <w:tblLook w:val="04A0" w:firstRow="1" w:lastRow="0" w:firstColumn="1" w:lastColumn="0" w:noHBand="0" w:noVBand="1"/>
      </w:tblPr>
      <w:tblGrid>
        <w:gridCol w:w="2160"/>
        <w:gridCol w:w="6480"/>
      </w:tblGrid>
      <w:tr w:rsidR="00330C1B" w14:paraId="6800ABEC" w14:textId="77777777" w:rsidTr="00330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778F1F" w14:textId="77777777" w:rsidR="00330C1B" w:rsidRDefault="00000000">
            <w:r>
              <w:rPr>
                <w:sz w:val="18"/>
              </w:rPr>
              <w:t>Flat name</w:t>
            </w:r>
          </w:p>
        </w:tc>
        <w:tc>
          <w:tcPr>
            <w:tcW w:w="6480" w:type="dxa"/>
          </w:tcPr>
          <w:p w14:paraId="60BA594C"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Disposition</w:t>
            </w:r>
          </w:p>
        </w:tc>
      </w:tr>
      <w:tr w:rsidR="00330C1B" w14:paraId="4ABD74DD"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CD06B7A" w14:textId="77777777" w:rsidR="00330C1B" w:rsidRDefault="00000000">
            <w:r>
              <w:rPr>
                <w:sz w:val="17"/>
              </w:rPr>
              <w:t>geography</w:t>
            </w:r>
          </w:p>
        </w:tc>
        <w:tc>
          <w:tcPr>
            <w:tcW w:w="6480" w:type="dxa"/>
          </w:tcPr>
          <w:p w14:paraId="62B812F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Succeeded by individualProvider.geography, facility.geography. The trial page does not declare one: the registry narrows to the United States or not at all (F-005-S-001-REQ-B-080), so a geography there would narrow nothing (B-005).</w:t>
            </w:r>
          </w:p>
        </w:tc>
      </w:tr>
      <w:tr w:rsidR="00330C1B" w14:paraId="7F794A31"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390CE9" w14:textId="77777777" w:rsidR="00330C1B" w:rsidRDefault="00000000">
            <w:r>
              <w:rPr>
                <w:sz w:val="17"/>
              </w:rPr>
              <w:t>complaint</w:t>
            </w:r>
          </w:p>
        </w:tc>
        <w:tc>
          <w:tcPr>
            <w:tcW w:w="6480" w:type="dxa"/>
          </w:tcPr>
          <w:p w14:paraId="64B1438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Succeeded by NUCC.complaint and individualProvider.complaint. The NUCC page holds what is being resolved; the provider page holds what the summary must say back in the person's own words (F-001-S-005-REQ-B-001).</w:t>
            </w:r>
          </w:p>
        </w:tc>
      </w:tr>
      <w:tr w:rsidR="00330C1B" w14:paraId="248E5092"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202F10" w14:textId="77777777" w:rsidR="00330C1B" w:rsidRDefault="00000000">
            <w:r>
              <w:rPr>
                <w:sz w:val="17"/>
              </w:rPr>
              <w:t>specialties</w:t>
            </w:r>
          </w:p>
        </w:tc>
        <w:tc>
          <w:tcPr>
            <w:tcW w:w="6480" w:type="dxa"/>
          </w:tcPr>
          <w:p w14:paraId="4CBA5CF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Succeeded by NUCC.offeredSpecialties. The offered set belongs to the page that produced it.</w:t>
            </w:r>
          </w:p>
        </w:tc>
      </w:tr>
      <w:tr w:rsidR="00330C1B" w14:paraId="2213632B"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B5B1C8" w14:textId="77777777" w:rsidR="00330C1B" w:rsidRDefault="00000000">
            <w:r>
              <w:rPr>
                <w:sz w:val="17"/>
              </w:rPr>
              <w:t>selected_specialty_codes</w:t>
            </w:r>
          </w:p>
        </w:tc>
        <w:tc>
          <w:tcPr>
            <w:tcW w:w="6480" w:type="dxa"/>
          </w:tcPr>
          <w:p w14:paraId="0F71F6B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Succeeded by NUCC.selectedSpecialtyCodes and individualProvider.selectedSpecialtyCodes. The first is what the person kept; the second is what the search is running under, and they differ between choosing and applying.</w:t>
            </w:r>
          </w:p>
        </w:tc>
      </w:tr>
      <w:tr w:rsidR="00330C1B" w14:paraId="67337214"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D01D12" w14:textId="77777777" w:rsidR="00330C1B" w:rsidRDefault="00000000">
            <w:r>
              <w:rPr>
                <w:sz w:val="17"/>
              </w:rPr>
              <w:t>provider_name</w:t>
            </w:r>
          </w:p>
        </w:tc>
        <w:tc>
          <w:tcPr>
            <w:tcW w:w="6480" w:type="dxa"/>
          </w:tcPr>
          <w:p w14:paraId="36F81B13"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Succeeded by individualProvider.providerName. The facility analogue is a distinct attribute, facility.administratorName (F-006-S-001-REQ-B-008).</w:t>
            </w:r>
          </w:p>
        </w:tc>
      </w:tr>
      <w:tr w:rsidR="00330C1B" w14:paraId="3DD7B9EF"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BAC62BA" w14:textId="77777777" w:rsidR="00330C1B" w:rsidRDefault="00000000">
            <w:r>
              <w:rPr>
                <w:sz w:val="17"/>
              </w:rPr>
              <w:t>insurance</w:t>
            </w:r>
          </w:p>
        </w:tc>
        <w:tc>
          <w:tcPr>
            <w:tcW w:w="6480" w:type="dxa"/>
          </w:tcPr>
          <w:p w14:paraId="5F543DE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Succeeded by individualProvider.insurance.</w:t>
            </w:r>
          </w:p>
        </w:tc>
      </w:tr>
      <w:tr w:rsidR="00330C1B" w14:paraId="6D0A3384"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804D8B3" w14:textId="77777777" w:rsidR="00330C1B" w:rsidRDefault="00000000">
            <w:r>
              <w:rPr>
                <w:sz w:val="17"/>
              </w:rPr>
              <w:t>provider_sex</w:t>
            </w:r>
          </w:p>
        </w:tc>
        <w:tc>
          <w:tcPr>
            <w:tcW w:w="6480" w:type="dxa"/>
          </w:tcPr>
          <w:p w14:paraId="0CF9FA76"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Succeeded by individualProvider.providerSex. Distinct from clinicalTrial.sex, which is a statement about the person and not about a provider.</w:t>
            </w:r>
          </w:p>
        </w:tc>
      </w:tr>
      <w:tr w:rsidR="00330C1B" w14:paraId="10886EF6"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B674710" w14:textId="77777777" w:rsidR="00330C1B" w:rsidRDefault="00000000">
            <w:r>
              <w:rPr>
                <w:sz w:val="17"/>
              </w:rPr>
              <w:t>sole_proprietor</w:t>
            </w:r>
          </w:p>
        </w:tc>
        <w:tc>
          <w:tcPr>
            <w:tcW w:w="6480" w:type="dxa"/>
          </w:tcPr>
          <w:p w14:paraId="041E114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Succeeded by individualProvider.soleProprietor.</w:t>
            </w:r>
          </w:p>
        </w:tc>
      </w:tr>
      <w:tr w:rsidR="00330C1B" w14:paraId="2ACE3A83"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159B5F" w14:textId="77777777" w:rsidR="00330C1B" w:rsidRDefault="00000000">
            <w:r>
              <w:rPr>
                <w:sz w:val="17"/>
              </w:rPr>
              <w:t>page_cursors</w:t>
            </w:r>
          </w:p>
        </w:tc>
        <w:tc>
          <w:tcPr>
            <w:tcW w:w="6480" w:type="dxa"/>
          </w:tcPr>
          <w:p w14:paraId="20F67AB5"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Withdrawn as a parameter. A position is per page and becomes each page's own position attribute (§3.8.6); a map keyed by function name was the flat model expressing page scope inside a value.</w:t>
            </w:r>
          </w:p>
        </w:tc>
      </w:tr>
      <w:tr w:rsidR="00330C1B" w14:paraId="55940756"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A77560" w14:textId="77777777" w:rsidR="00330C1B" w:rsidRDefault="00000000">
            <w:r>
              <w:rPr>
                <w:sz w:val="17"/>
              </w:rPr>
              <w:t>selected_provider_npi</w:t>
            </w:r>
          </w:p>
        </w:tc>
        <w:tc>
          <w:tcPr>
            <w:tcW w:w="6480" w:type="dxa"/>
          </w:tcPr>
          <w:p w14:paraId="674ED025"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Succeeded by individualProvider.openNpi, with facility.openNpi and clinicalTrial.openNctId as the analogues.</w:t>
            </w:r>
          </w:p>
        </w:tc>
      </w:tr>
    </w:tbl>
    <w:p w14:paraId="2AEA5DAA" w14:textId="77777777" w:rsidR="00330C1B" w:rsidRDefault="00000000">
      <w:pPr>
        <w:pStyle w:val="Heading3"/>
      </w:pPr>
      <w:r>
        <w:t>3.8.3 Carry-over</w:t>
      </w:r>
    </w:p>
    <w:p w14:paraId="7C17FA0D" w14:textId="77777777" w:rsidR="00330C1B" w:rsidRDefault="00000000">
      <w:pPr>
        <w:spacing w:before="80"/>
        <w:ind w:left="432"/>
      </w:pPr>
      <w:r>
        <w:rPr>
          <w:b/>
          <w:sz w:val="19"/>
        </w:rPr>
        <w:t xml:space="preserve">EPIC-006-F-008-S-002-REQ-B-001  </w:t>
      </w:r>
      <w:r>
        <w:rPr>
          <w:i/>
          <w:sz w:val="19"/>
        </w:rPr>
        <w:t>"Whether a parameter carries over MUST be decided per parameter, per source page and per destination page. No page-wide or system-wide rule MUST override that decision."</w:t>
      </w:r>
    </w:p>
    <w:p w14:paraId="3EE0C6E0" w14:textId="77777777" w:rsidR="00330C1B" w:rsidRDefault="00000000">
      <w:pPr>
        <w:spacing w:before="80"/>
        <w:ind w:left="432"/>
      </w:pPr>
      <w:r>
        <w:rPr>
          <w:b/>
          <w:sz w:val="19"/>
        </w:rPr>
        <w:t xml:space="preserve">EPIC-006-F-008-S-002-REQ-B-003  </w:t>
      </w:r>
      <w:r>
        <w:rPr>
          <w:i/>
          <w:sz w:val="19"/>
        </w:rPr>
        <w:t>"A parameter for which no carry-over is stated for a given source and destination MUST NOT carry over."</w:t>
      </w:r>
    </w:p>
    <w:p w14:paraId="503A467B" w14:textId="77777777" w:rsidR="00330C1B" w:rsidRDefault="00000000">
      <w:r>
        <w:t>Carry-over is a set of stated triples — parameter, source page, destination page — and nothing else produces it. There is no rule that a parameter of the same name carries between pages, because that is precisely the system-wide rule B-001 forbids: geography carrying from the provider page to the facility page is a decision someone made about those two pages, not a consequence of both being called geography. Anything not stated does not carry, so the absence of a triple is a decision and not an omission.</w:t>
      </w:r>
    </w:p>
    <w:p w14:paraId="66AEC4FB" w14:textId="77777777" w:rsidR="00330C1B" w:rsidRDefault="00000000">
      <w:pPr>
        <w:spacing w:before="80"/>
        <w:ind w:left="432"/>
      </w:pPr>
      <w:r>
        <w:rPr>
          <w:b/>
          <w:sz w:val="19"/>
        </w:rPr>
        <w:t xml:space="preserve">EPIC-006-F-008-S-002-REQ-B-002  </w:t>
      </w:r>
      <w:r>
        <w:rPr>
          <w:i/>
          <w:sz w:val="19"/>
        </w:rPr>
        <w:t>"A change to which parameters carry over from one page to another MUST take effect without a software release."</w:t>
      </w:r>
    </w:p>
    <w:p w14:paraId="59C7CB64" w14:textId="77777777" w:rsidR="00330C1B" w:rsidRDefault="00000000">
      <w:r>
        <w:t>The triples are data, held in the ChatHealthyConfig database on the front-end cluster — the same database and the same cluster from which a running FindCare already reads its collection bindings (§4.4), reached by the same utility under the same identity. That is why this requirement needs no new component: the runtime already reads its own configuration from a place an operator can change without a build, and this is a second document in that place. It is read at startup with the bindings and re-read on the same bearer-gated rebind, so a change takes effect on the next turn.</w:t>
      </w:r>
    </w:p>
    <w:p w14:paraId="60D29EFB" w14:textId="77777777" w:rsidR="00330C1B" w:rsidRDefault="00000000">
      <w:pPr>
        <w:spacing w:before="80"/>
        <w:ind w:left="432"/>
      </w:pPr>
      <w:r>
        <w:rPr>
          <w:b/>
          <w:sz w:val="19"/>
        </w:rPr>
        <w:t xml:space="preserve">EPIC-006-F-008-S-002-REQ-B-005  </w:t>
      </w:r>
      <w:r>
        <w:rPr>
          <w:i/>
          <w:sz w:val="19"/>
        </w:rPr>
        <w:t>"A carry-over MUST NOT replace a value already in force on the destination page."</w:t>
      </w:r>
    </w:p>
    <w:p w14:paraId="0B29F35B" w14:textId="77777777" w:rsidR="00330C1B" w:rsidRDefault="00000000">
      <w:pPr>
        <w:spacing w:before="80"/>
        <w:ind w:left="432"/>
      </w:pPr>
      <w:r>
        <w:rPr>
          <w:b/>
          <w:sz w:val="19"/>
        </w:rPr>
        <w:t xml:space="preserve">EPIC-006-F-008-S-002-REQ-B-004  </w:t>
      </w:r>
      <w:r>
        <w:rPr>
          <w:i/>
          <w:sz w:val="19"/>
        </w:rPr>
        <w:t>"A value arriving on a page by carry-over MUST be recorded as a parameter change on that page."</w:t>
      </w:r>
    </w:p>
    <w:p w14:paraId="63699A50" w14:textId="77777777" w:rsidR="00330C1B" w:rsidRDefault="00000000">
      <w:r>
        <w:t>Carry-over fills, it does not overwrite. The triple is applied only where the destination attribute is empty, so a person who has already said something about the facility page keeps what they said when they arrive from the provider page. Where it does apply, it is an ordinary write through the one write path (§3.8.4) and is recorded like any other — same validation, same record of what changed. B-004 exists so that a value a person never typed is nonetheless accounted for, and the record names the source page it came from, which is what §3.8.5 shows them.</w:t>
      </w:r>
    </w:p>
    <w:p w14:paraId="6551C800" w14:textId="77777777" w:rsidR="00330C1B" w:rsidRDefault="00000000">
      <w:pPr>
        <w:pStyle w:val="Heading3"/>
      </w:pPr>
      <w:r>
        <w:t>3.8.4 The three routes in, and no fourth</w:t>
      </w:r>
    </w:p>
    <w:p w14:paraId="0D729925" w14:textId="77777777" w:rsidR="00330C1B" w:rsidRDefault="00000000">
      <w:pPr>
        <w:spacing w:before="80"/>
        <w:ind w:left="432"/>
      </w:pPr>
      <w:r>
        <w:rPr>
          <w:b/>
          <w:sz w:val="19"/>
        </w:rPr>
        <w:t xml:space="preserve">EPIC-006-F-008-S-003-REQ-B-001  </w:t>
      </w:r>
      <w:r>
        <w:rPr>
          <w:i/>
          <w:sz w:val="19"/>
        </w:rPr>
        <w:t>"A tool MUST be able to set, clear and read any parameter its page declares."</w:t>
      </w:r>
    </w:p>
    <w:p w14:paraId="0069DE90" w14:textId="77777777" w:rsidR="00330C1B" w:rsidRDefault="00000000">
      <w:pPr>
        <w:spacing w:before="80"/>
        <w:ind w:left="432"/>
      </w:pPr>
      <w:r>
        <w:rPr>
          <w:b/>
          <w:sz w:val="19"/>
        </w:rPr>
        <w:t xml:space="preserve">EPIC-006-F-008-S-003-REQ-B-002  </w:t>
      </w:r>
      <w:r>
        <w:rPr>
          <w:i/>
          <w:sz w:val="19"/>
        </w:rPr>
        <w:t>"The gateway MUST be able to set, clear and read any parameter, on its own initiative and without a tool having asked."</w:t>
      </w:r>
    </w:p>
    <w:p w14:paraId="788BDDAD" w14:textId="77777777" w:rsidR="00330C1B" w:rsidRDefault="00000000">
      <w:pPr>
        <w:spacing w:before="80"/>
        <w:ind w:left="432"/>
      </w:pPr>
      <w:r>
        <w:rPr>
          <w:b/>
          <w:sz w:val="19"/>
        </w:rPr>
        <w:t xml:space="preserve">EPIC-006-F-008-S-003-REQ-B-003  </w:t>
      </w:r>
      <w:r>
        <w:rPr>
          <w:i/>
          <w:sz w:val="19"/>
        </w:rPr>
        <w:t>"The utterance manager MUST be able to set, clear and read any parameter."</w:t>
      </w:r>
    </w:p>
    <w:p w14:paraId="28C42BDD" w14:textId="77777777" w:rsidR="00330C1B" w:rsidRDefault="00000000">
      <w:pPr>
        <w:spacing w:before="80"/>
        <w:ind w:left="432"/>
      </w:pPr>
      <w:r>
        <w:rPr>
          <w:b/>
          <w:sz w:val="19"/>
        </w:rPr>
        <w:t xml:space="preserve">EPIC-006-F-008-S-003-REQ-B-004  </w:t>
      </w:r>
      <w:r>
        <w:rPr>
          <w:i/>
          <w:sz w:val="19"/>
        </w:rPr>
        <w:t>"The same parameter request made by any of the three routes MUST produce the same stored value and the same refusal."</w:t>
      </w:r>
    </w:p>
    <w:p w14:paraId="08D38273" w14:textId="77777777" w:rsidR="00330C1B" w:rsidRDefault="00000000">
      <w:pPr>
        <w:spacing w:before="80"/>
        <w:ind w:left="432"/>
      </w:pPr>
      <w:r>
        <w:rPr>
          <w:b/>
          <w:sz w:val="19"/>
        </w:rPr>
        <w:t xml:space="preserve">EPIC-006-F-008-S-003-REQ-B-007  </w:t>
      </w:r>
      <w:r>
        <w:rPr>
          <w:i/>
          <w:sz w:val="19"/>
        </w:rPr>
        <w:t>"No component MUST change a parameter other than through those three routes."</w:t>
      </w:r>
    </w:p>
    <w:p w14:paraId="35401BFE" w14:textId="77777777" w:rsidR="00330C1B" w:rsidRDefault="00000000">
      <w:r>
        <w:t>Three callers, one implementation. The parameters tool is the only writer, and the three routes are three callers of it rather than three write paths — which is what makes B-004 true by construction rather than by discipline: there is one validation site, so one value is stored and one refusal is given whoever asked. The asymmetry between the routes is only in what they may address. A tool may address the page it belongs to, because a tool that could write another page's parameters would defeat the independence of §3.8.1. The gateway and the utterance manager may address any page: the gateway because it dispatches across pages and must clear a stale position or an open detail no tool owns, and the utterance manager because one thing a person says may bear on two pages at once.</w:t>
      </w:r>
    </w:p>
    <w:p w14:paraId="777EAB2C" w14:textId="77777777" w:rsidR="00330C1B" w:rsidRDefault="00000000">
      <w:r>
        <w:t>B-007 is enforced by there being nothing else to call. The parameter map is reached only through the tool; no component holds a reference it can assign to. A fourth writer would have to be written, not merely permitted.</w:t>
      </w:r>
    </w:p>
    <w:p w14:paraId="5179B743" w14:textId="77777777" w:rsidR="00330C1B" w:rsidRDefault="00000000">
      <w:pPr>
        <w:spacing w:before="80"/>
        <w:ind w:left="432"/>
      </w:pPr>
      <w:r>
        <w:rPr>
          <w:b/>
          <w:sz w:val="19"/>
        </w:rPr>
        <w:t xml:space="preserve">EPIC-006-F-008-S-003-REQ-B-005  </w:t>
      </w:r>
      <w:r>
        <w:rPr>
          <w:i/>
          <w:sz w:val="19"/>
        </w:rPr>
        <w:t>"Every parameter change MUST record which of the three routes made it."</w:t>
      </w:r>
    </w:p>
    <w:p w14:paraId="45785DFB" w14:textId="77777777" w:rsidR="00330C1B" w:rsidRDefault="00000000">
      <w:pPr>
        <w:spacing w:before="80"/>
        <w:ind w:left="432"/>
      </w:pPr>
      <w:r>
        <w:rPr>
          <w:b/>
          <w:sz w:val="19"/>
        </w:rPr>
        <w:t xml:space="preserve">EPIC-006-F-008-S-003-REQ-B-006  </w:t>
      </w:r>
      <w:r>
        <w:rPr>
          <w:i/>
          <w:sz w:val="19"/>
        </w:rPr>
        <w:t>"Every parameter change MUST record whether the value was determined by a rule or inferred by a model."</w:t>
      </w:r>
    </w:p>
    <w:p w14:paraId="35BA3B74" w14:textId="77777777" w:rsidR="00330C1B" w:rsidRDefault="00000000">
      <w:r>
        <w:t xml:space="preserve">Two independent facts about one write, and both are given by the caller on the request. The route says who asked; the determination says how the value was arrived at. They are independent — the gateway can carry a model-inferred value, and the utterance manager can carry a rule-determined </w:t>
      </w:r>
      <w:r>
        <w:t>one — so neither is derivable from the other and both are recorded. They are recorded with the change rather than on the parameter, because they are facts about an event and a parameter holds only its current value.</w:t>
      </w:r>
    </w:p>
    <w:p w14:paraId="44879FBE" w14:textId="77777777" w:rsidR="00330C1B" w:rsidRDefault="00000000">
      <w:pPr>
        <w:ind w:left="432"/>
      </w:pPr>
      <w:r>
        <w:rPr>
          <w:b/>
          <w:color w:val="990000"/>
        </w:rPr>
        <w:t xml:space="preserve">Code contradicts this design: </w:t>
      </w:r>
      <w:r>
        <w:rPr>
          <w:color w:val="990000"/>
        </w:rPr>
        <w:t>The existing request carries an origin field distinguishing rule from model, which meets B-006. There is no field naming the route, so B-005 has nothing to record it in; the calling tool can only be inferred from the conversation history entry the invocation left behind.</w:t>
      </w:r>
    </w:p>
    <w:p w14:paraId="22080442" w14:textId="77777777" w:rsidR="00330C1B" w:rsidRDefault="00000000">
      <w:pPr>
        <w:ind w:left="432"/>
      </w:pPr>
      <w:r>
        <w:rPr>
          <w:b/>
          <w:color w:val="005500"/>
        </w:rPr>
        <w:t>Designed change C-14</w:t>
      </w:r>
      <w:r>
        <w:rPr>
          <w:color w:val="005500"/>
          <w:sz w:val="18"/>
        </w:rPr>
        <w:t xml:space="preserve">  (owner: EPIC-002-F-004 owns the tool)  </w:t>
      </w:r>
      <w:r>
        <w:rPr>
          <w:color w:val="005500"/>
        </w:rPr>
        <w:t>The route is not inferred; it is declared by the caller. The parameters Request gains route: Literal["tool", "gateway", "utterance_manager"] beside the origin field that already carries the determination, and it has no default — a caller that does not say which route it is is refused, because a default would make the commonest caller invisible. The value is stored on the parameter entry of §3.8.8 rather than left in the invocation history, so it can be read at the moment the parameter is read.</w:t>
      </w:r>
    </w:p>
    <w:p w14:paraId="28980F5A" w14:textId="77777777" w:rsidR="00330C1B" w:rsidRDefault="00000000">
      <w:pPr>
        <w:pStyle w:val="Heading3"/>
      </w:pPr>
      <w:r>
        <w:t>3.8.5 Preserving a change, and saying so</w:t>
      </w:r>
    </w:p>
    <w:p w14:paraId="6C91AC16" w14:textId="77777777" w:rsidR="00330C1B" w:rsidRDefault="00000000">
      <w:pPr>
        <w:spacing w:before="80"/>
        <w:ind w:left="432"/>
      </w:pPr>
      <w:r>
        <w:rPr>
          <w:b/>
          <w:sz w:val="19"/>
        </w:rPr>
        <w:t xml:space="preserve">EPIC-006-F-008-S-004-REQ-B-006  </w:t>
      </w:r>
      <w:r>
        <w:rPr>
          <w:i/>
          <w:sz w:val="19"/>
        </w:rPr>
        <w:t>"A request changing more than one parameter MUST leave all of them changed or none of them changed."</w:t>
      </w:r>
    </w:p>
    <w:p w14:paraId="2B83B145" w14:textId="77777777" w:rsidR="00330C1B" w:rsidRDefault="00000000">
      <w:pPr>
        <w:spacing w:before="80"/>
        <w:ind w:left="432"/>
      </w:pPr>
      <w:r>
        <w:rPr>
          <w:b/>
          <w:sz w:val="19"/>
        </w:rPr>
        <w:t xml:space="preserve">EPIC-006-F-008-S-004-REQ-B-001  </w:t>
      </w:r>
      <w:r>
        <w:rPr>
          <w:i/>
          <w:sz w:val="19"/>
        </w:rPr>
        <w:t>"A parameter change reported to the user as made MUST still be in force on that user's next request."</w:t>
      </w:r>
    </w:p>
    <w:p w14:paraId="76345F7B" w14:textId="77777777" w:rsidR="00330C1B" w:rsidRDefault="00000000">
      <w:pPr>
        <w:spacing w:before="80"/>
        <w:ind w:left="432"/>
      </w:pPr>
      <w:r>
        <w:rPr>
          <w:b/>
          <w:sz w:val="19"/>
        </w:rPr>
        <w:t xml:space="preserve">EPIC-006-F-008-S-004-REQ-B-003  </w:t>
      </w:r>
      <w:r>
        <w:rPr>
          <w:i/>
          <w:sz w:val="19"/>
        </w:rPr>
        <w:t>"A parameter change that did not take MUST NOT be reported to the user as made."</w:t>
      </w:r>
    </w:p>
    <w:p w14:paraId="523FF375" w14:textId="77777777" w:rsidR="00330C1B" w:rsidRDefault="00000000">
      <w:pPr>
        <w:spacing w:before="80"/>
        <w:ind w:left="432"/>
      </w:pPr>
      <w:r>
        <w:rPr>
          <w:b/>
          <w:sz w:val="19"/>
        </w:rPr>
        <w:t xml:space="preserve">EPIC-006-F-008-S-004-REQ-B-004  </w:t>
      </w:r>
      <w:r>
        <w:rPr>
          <w:i/>
          <w:sz w:val="19"/>
        </w:rPr>
        <w:t>"A parameter whose change was not preserved MUST hold the value it held before."</w:t>
      </w:r>
    </w:p>
    <w:p w14:paraId="7A6BC06B" w14:textId="77777777" w:rsidR="00330C1B" w:rsidRDefault="00000000">
      <w:pPr>
        <w:spacing w:before="80"/>
        <w:ind w:left="432"/>
      </w:pPr>
      <w:r>
        <w:rPr>
          <w:b/>
          <w:sz w:val="19"/>
        </w:rPr>
        <w:t xml:space="preserve">EPIC-006-F-008-S-004-REQ-B-005  </w:t>
      </w:r>
      <w:r>
        <w:rPr>
          <w:i/>
          <w:sz w:val="19"/>
        </w:rPr>
        <w:t>"When a parameter change is not preserved, the user MUST be told, and the parameter MUST be named."</w:t>
      </w:r>
    </w:p>
    <w:p w14:paraId="12C1BED0" w14:textId="77777777" w:rsidR="00330C1B" w:rsidRDefault="00000000">
      <w:r>
        <w:t>All five follow from two decisions: where the parameters live, and when the person is told.</w:t>
      </w:r>
    </w:p>
    <w:p w14:paraId="2DC1E171" w14:textId="77777777" w:rsidR="00330C1B" w:rsidRDefault="00000000">
      <w:r>
        <w:t>Every page's parameters live inside the one session document in Users.sessions. A write of any number of them is therefore a single-document write, and a single-document write in MongoDB either happens or does not. B-006 needs no transaction and no compensating logic — the atom is the document, and the request assembles the whole new parameter state before writing it once. B-004 follows from the same fact: a write that did not happen left the previous document intact, so the parameter holds what it held, and nothing has to restore it.</w:t>
      </w:r>
    </w:p>
    <w:p w14:paraId="01F28884" w14:textId="77777777" w:rsidR="00330C1B" w:rsidRDefault="00000000">
      <w:r>
        <w:t>The person is told after the write is acknowledged, never before. The request builds the new state, writes it, and only then emits what changed; a failed write emits the failure instead, naming the parameters that did not take. That ordering is B-003 and B-005 together, and B-001 is its consequence — a change that was reported was acknowledged by the store, so the next request reads it back.</w:t>
      </w:r>
    </w:p>
    <w:p w14:paraId="506BE8F9" w14:textId="77777777" w:rsidR="00330C1B" w:rsidRDefault="00000000">
      <w:pPr>
        <w:spacing w:before="80"/>
        <w:ind w:left="432"/>
      </w:pPr>
      <w:r>
        <w:rPr>
          <w:b/>
          <w:sz w:val="19"/>
        </w:rPr>
        <w:t xml:space="preserve">EPIC-006-F-008-S-004-REQ-B-002  </w:t>
      </w:r>
      <w:r>
        <w:rPr>
          <w:i/>
          <w:sz w:val="19"/>
        </w:rPr>
        <w:t>"A parameter change MUST apply to every use of that parameter that follows it."</w:t>
      </w:r>
    </w:p>
    <w:p w14:paraId="56D57B10" w14:textId="77777777" w:rsidR="00330C1B" w:rsidRDefault="00000000">
      <w:pPr>
        <w:spacing w:before="80"/>
        <w:ind w:left="432"/>
      </w:pPr>
      <w:r>
        <w:rPr>
          <w:b/>
          <w:sz w:val="19"/>
        </w:rPr>
        <w:t xml:space="preserve">EPIC-006-F-008-S-004-REQ-B-007  </w:t>
      </w:r>
      <w:r>
        <w:rPr>
          <w:i/>
          <w:sz w:val="19"/>
        </w:rPr>
        <w:t>"When two changes are made to one parameter, the value in force MUST be the later of the two."</w:t>
      </w:r>
    </w:p>
    <w:p w14:paraId="56DF0727" w14:textId="77777777" w:rsidR="00330C1B" w:rsidRDefault="00000000">
      <w:r>
        <w:t>There is one copy of a parameter and every reader reads it, so B-002 is the absence of a cache rather than the invalidation of one. No component holds a parameter value across a turn; each reads the map when it runs. B-007 is the write semantic: a set replaces, and there is no merge verb, so two changes to one parameter leave the later one. A caller wanting to combine values combines them before writing.</w:t>
      </w:r>
    </w:p>
    <w:p w14:paraId="4522440D" w14:textId="77777777" w:rsidR="00330C1B" w:rsidRDefault="00000000">
      <w:pPr>
        <w:pStyle w:val="Heading3"/>
      </w:pPr>
      <w:r>
        <w:t>3.8.6 Position in a list</w:t>
      </w:r>
    </w:p>
    <w:p w14:paraId="4E997B3E" w14:textId="77777777" w:rsidR="00330C1B" w:rsidRDefault="00000000">
      <w:pPr>
        <w:spacing w:before="80"/>
        <w:ind w:left="432"/>
      </w:pPr>
      <w:r>
        <w:rPr>
          <w:b/>
          <w:sz w:val="19"/>
        </w:rPr>
        <w:t xml:space="preserve">EPIC-006-F-008-S-007-REQ-B-003  </w:t>
      </w:r>
      <w:r>
        <w:rPr>
          <w:i/>
          <w:sz w:val="19"/>
        </w:rPr>
        <w:t>"The same search asked twice MUST return the same records in the same order."</w:t>
      </w:r>
    </w:p>
    <w:p w14:paraId="7119CF2A" w14:textId="77777777" w:rsidR="00330C1B" w:rsidRDefault="00000000">
      <w:pPr>
        <w:spacing w:before="80"/>
        <w:ind w:left="432"/>
      </w:pPr>
      <w:r>
        <w:rPr>
          <w:b/>
          <w:sz w:val="19"/>
        </w:rPr>
        <w:t xml:space="preserve">EPIC-006-F-008-S-007-REQ-B-004  </w:t>
      </w:r>
      <w:r>
        <w:rPr>
          <w:i/>
          <w:sz w:val="19"/>
        </w:rPr>
        <w:t>"A page request naming no position MUST return the first page."</w:t>
      </w:r>
    </w:p>
    <w:p w14:paraId="062D6FB4" w14:textId="77777777" w:rsidR="00330C1B" w:rsidRDefault="00000000">
      <w:r>
        <w:t>The query sorts on the NPI, which is unique, so the order is total and no two runs can differ. This is what makes a position expressible at all: it is a key in that order, not an offset. An absent position is the top of the list, which is also what a page never visited means, so the first page needs no special case.</w:t>
      </w:r>
    </w:p>
    <w:p w14:paraId="1823002B" w14:textId="77777777" w:rsidR="00330C1B" w:rsidRDefault="00000000">
      <w:pPr>
        <w:spacing w:before="80"/>
        <w:ind w:left="432"/>
      </w:pPr>
      <w:r>
        <w:rPr>
          <w:b/>
          <w:sz w:val="19"/>
        </w:rPr>
        <w:t xml:space="preserve">EPIC-006-F-008-S-007-REQ-B-001  </w:t>
      </w:r>
      <w:r>
        <w:rPr>
          <w:i/>
          <w:sz w:val="19"/>
        </w:rPr>
        <w:t>"Every FindCare list MUST be presentable one page at a time, forward and back."</w:t>
      </w:r>
    </w:p>
    <w:p w14:paraId="11CA38CE" w14:textId="77777777" w:rsidR="00330C1B" w:rsidRDefault="00000000">
      <w:r>
        <w:t>Forward is the rows after the position, taken in ascending order. Back is the rows before it, taken in descending order and reversed for display — the same keyset query with the comparison and the sort both inverted, so paging back costs exactly what paging forward costs and needs no history of the cursors walked to get there. The position parameter holds the first and last key of the page in view, which is what both directions need.</w:t>
      </w:r>
    </w:p>
    <w:p w14:paraId="15F1FFBE" w14:textId="77777777" w:rsidR="00330C1B" w:rsidRDefault="00000000">
      <w:pPr>
        <w:ind w:left="432"/>
      </w:pPr>
      <w:r>
        <w:rPr>
          <w:b/>
          <w:color w:val="990000"/>
        </w:rPr>
        <w:t xml:space="preserve">Code contradicts this design: </w:t>
      </w:r>
      <w:r>
        <w:rPr>
          <w:color w:val="990000"/>
        </w:rPr>
        <w:t>The provider list pages forward only: the request carries a single after_npi, the query is fixed to ascending order, and the widget renders one "Show more providers" control and no back control. The trial list has both controls, but it pages by slicing a cached 150-trial fetch in the browser rather than by asking the registry.</w:t>
      </w:r>
    </w:p>
    <w:p w14:paraId="7FECEBBE" w14:textId="77777777" w:rsidR="00330C1B" w:rsidRDefault="00000000">
      <w:pPr>
        <w:ind w:left="432"/>
      </w:pPr>
      <w:r>
        <w:rPr>
          <w:b/>
          <w:color w:val="005500"/>
        </w:rPr>
        <w:t>Designed change C-15</w:t>
      </w:r>
      <w:r>
        <w:rPr>
          <w:color w:val="005500"/>
          <w:sz w:val="18"/>
        </w:rPr>
        <w:t xml:space="preserve">  (owner: EPIC-006 for the query; EPIC-002-F-004 for the op)  </w:t>
      </w:r>
      <w:r>
        <w:rPr>
          <w:color w:val="005500"/>
        </w:rPr>
        <w:t>Three changes and one deletion. _facet_query in provider_search_service.py takes a direction: forward keeps the ascending sort and the greater-than comparison it has; back inverts both, taking the rows less than the key in descending order and reversing the page before it is projected, so a backward page costs what a forward page costs. ProviderSearchTool.Request replaces after_npi with a cursor and a direction; the Response already returns first_npi and last_npi, which are exactly the two keys a position needs, so nothing new is computed. UniversalNavigationTool._handle_provider_page passes the direction through, and ProviderResultsWidget.tsx gains the back control beside the one it has. The trial list stops slicing a cached fetch and pages the registry, which C-09 already makes possible.</w:t>
      </w:r>
    </w:p>
    <w:p w14:paraId="3F1CE26B" w14:textId="77777777" w:rsidR="00330C1B" w:rsidRDefault="00000000">
      <w:pPr>
        <w:pStyle w:val="Heading3"/>
      </w:pPr>
      <w:r>
        <w:t>3.8.7 The parameter panel</w:t>
      </w:r>
    </w:p>
    <w:p w14:paraId="5226E93A" w14:textId="77777777" w:rsidR="00330C1B" w:rsidRDefault="00000000">
      <w:pPr>
        <w:spacing w:before="80"/>
        <w:ind w:left="432"/>
      </w:pPr>
      <w:r>
        <w:rPr>
          <w:b/>
          <w:sz w:val="19"/>
        </w:rPr>
        <w:t xml:space="preserve">EPIC-006-F-008-S-005-REQ-B-001  </w:t>
      </w:r>
      <w:r>
        <w:rPr>
          <w:i/>
          <w:sz w:val="19"/>
        </w:rPr>
        <w:t>"The panel MUST show exactly those parameters currently in force, with their values, and no others."</w:t>
      </w:r>
    </w:p>
    <w:p w14:paraId="39CE456A" w14:textId="77777777" w:rsidR="00330C1B" w:rsidRDefault="00000000">
      <w:pPr>
        <w:spacing w:before="80"/>
        <w:ind w:left="432"/>
      </w:pPr>
      <w:r>
        <w:rPr>
          <w:b/>
          <w:sz w:val="19"/>
        </w:rPr>
        <w:t xml:space="preserve">EPIC-006-F-008-S-005-REQ-B-002  </w:t>
      </w:r>
      <w:r>
        <w:rPr>
          <w:i/>
          <w:sz w:val="19"/>
        </w:rPr>
        <w:t>"Every parameter shown MUST be shown with the page it belongs to."</w:t>
      </w:r>
    </w:p>
    <w:p w14:paraId="3949CA33" w14:textId="77777777" w:rsidR="00330C1B" w:rsidRDefault="00000000">
      <w:pPr>
        <w:spacing w:before="80"/>
        <w:ind w:left="432"/>
      </w:pPr>
      <w:r>
        <w:rPr>
          <w:b/>
          <w:sz w:val="19"/>
        </w:rPr>
        <w:t xml:space="preserve">EPIC-006-F-008-S-005-REQ-B-003  </w:t>
      </w:r>
      <w:r>
        <w:rPr>
          <w:i/>
          <w:sz w:val="19"/>
        </w:rPr>
        <w:t>"The panel MUST group the parameters it shows by page."</w:t>
      </w:r>
    </w:p>
    <w:p w14:paraId="5EDEE66F" w14:textId="77777777" w:rsidR="00330C1B" w:rsidRDefault="00000000">
      <w:pPr>
        <w:spacing w:before="80"/>
        <w:ind w:left="432"/>
      </w:pPr>
      <w:r>
        <w:rPr>
          <w:b/>
          <w:sz w:val="19"/>
        </w:rPr>
        <w:t xml:space="preserve">EPIC-006-F-008-S-005-REQ-B-008  </w:t>
      </w:r>
      <w:r>
        <w:rPr>
          <w:i/>
          <w:sz w:val="19"/>
        </w:rPr>
        <w:t>"A parameter in force on a page because it carried over MUST be shown with the page it came from."</w:t>
      </w:r>
    </w:p>
    <w:p w14:paraId="283B1D59" w14:textId="77777777" w:rsidR="00330C1B" w:rsidRDefault="00000000">
      <w:r>
        <w:t>The panel renders the parameter state as it is held: grouped by page, because that is its shape, and showing only attributes carrying a value, because "in force" is having a value. A declared attribute with no value is not shown — showing every declared attribute would make the panel a form rather than a statement of what is true. The source page of a carried value is on the change record written by B-004, so B-008 is a render of a fact already stored rather than an inference.</w:t>
      </w:r>
    </w:p>
    <w:p w14:paraId="7EE19DD2" w14:textId="77777777" w:rsidR="00330C1B" w:rsidRDefault="00000000">
      <w:pPr>
        <w:spacing w:before="80"/>
        <w:ind w:left="432"/>
      </w:pPr>
      <w:r>
        <w:rPr>
          <w:b/>
          <w:sz w:val="19"/>
        </w:rPr>
        <w:t xml:space="preserve">EPIC-006-F-008-S-005-REQ-B-004  </w:t>
      </w:r>
      <w:r>
        <w:rPr>
          <w:i/>
          <w:sz w:val="19"/>
        </w:rPr>
        <w:t>"A user MUST be able to clear one parameter in a single action without changing any other."</w:t>
      </w:r>
    </w:p>
    <w:p w14:paraId="30706DDD" w14:textId="77777777" w:rsidR="00330C1B" w:rsidRDefault="00000000">
      <w:pPr>
        <w:spacing w:before="80"/>
        <w:ind w:left="432"/>
      </w:pPr>
      <w:r>
        <w:rPr>
          <w:b/>
          <w:sz w:val="19"/>
        </w:rPr>
        <w:t xml:space="preserve">EPIC-006-F-008-S-005-REQ-B-005  </w:t>
      </w:r>
      <w:r>
        <w:rPr>
          <w:i/>
          <w:sz w:val="19"/>
        </w:rPr>
        <w:t>"A user MUST be able to clear every parameter of one page in a single action."</w:t>
      </w:r>
    </w:p>
    <w:p w14:paraId="64337267" w14:textId="77777777" w:rsidR="00330C1B" w:rsidRDefault="00000000">
      <w:pPr>
        <w:spacing w:before="80"/>
        <w:ind w:left="432"/>
      </w:pPr>
      <w:r>
        <w:rPr>
          <w:b/>
          <w:sz w:val="19"/>
        </w:rPr>
        <w:t xml:space="preserve">EPIC-006-F-008-S-005-REQ-B-006  </w:t>
      </w:r>
      <w:r>
        <w:rPr>
          <w:i/>
          <w:sz w:val="19"/>
        </w:rPr>
        <w:t>"A user MUST be able to clear every parameter of every page in a single action."</w:t>
      </w:r>
    </w:p>
    <w:p w14:paraId="24B8BF53" w14:textId="77777777" w:rsidR="00330C1B" w:rsidRDefault="00000000">
      <w:pPr>
        <w:spacing w:before="80"/>
        <w:ind w:left="432"/>
      </w:pPr>
      <w:r>
        <w:rPr>
          <w:b/>
          <w:sz w:val="19"/>
        </w:rPr>
        <w:t xml:space="preserve">EPIC-006-F-008-S-005-REQ-B-009  </w:t>
      </w:r>
      <w:r>
        <w:rPr>
          <w:i/>
          <w:sz w:val="19"/>
        </w:rPr>
        <w:t>"A user MUST be able to change the value of any parameter in force from the panel that shows it."</w:t>
      </w:r>
    </w:p>
    <w:p w14:paraId="5E9087D3" w14:textId="77777777" w:rsidR="00330C1B" w:rsidRDefault="00000000">
      <w:r>
        <w:t>Four actions on the panel, all of them ordinary writes through the one path of §3.8.4. The panel is a surface, not a fourth writer: a control on it sends a request through the gateway, which addresses the parameters tool exactly as any other route does, so the same validation and the same refusal apply. Clearing one page and clearing all pages are single requests changing several parameters, and B-006 of §3.8.5 therefore applies to them — a clear-all leaves every page cleared or none.</w:t>
      </w:r>
    </w:p>
    <w:p w14:paraId="69B79E17" w14:textId="77777777" w:rsidR="00330C1B" w:rsidRDefault="00000000">
      <w:pPr>
        <w:spacing w:before="80"/>
        <w:ind w:left="432"/>
      </w:pPr>
      <w:r>
        <w:rPr>
          <w:b/>
          <w:sz w:val="19"/>
        </w:rPr>
        <w:t xml:space="preserve">EPIC-006-F-008-S-005-REQ-B-007  </w:t>
      </w:r>
      <w:r>
        <w:rPr>
          <w:i/>
          <w:sz w:val="19"/>
        </w:rPr>
        <w:t>"After a parameter change is preserved, the panel MUST show the new value within the same turn."</w:t>
      </w:r>
    </w:p>
    <w:p w14:paraId="4438BC89" w14:textId="77777777" w:rsidR="00330C1B" w:rsidRDefault="00000000">
      <w:r>
        <w:t>The response to a parameter change carries the new state, and the panel repaints from it in the same turn that made the change. It is not refetched: refetching would be a second read that could disagree with what was just acknowledged. "After it is preserved" is the ordering of §3.8.5 — the panel shows what the store confirmed.</w:t>
      </w:r>
    </w:p>
    <w:p w14:paraId="4FA5A7FD" w14:textId="77777777" w:rsidR="00330C1B" w:rsidRDefault="00000000">
      <w:pPr>
        <w:pStyle w:val="Heading3"/>
      </w:pPr>
      <w:r>
        <w:t>3.8.8 C-13 — replacing the flat model</w:t>
      </w:r>
    </w:p>
    <w:p w14:paraId="212A750C" w14:textId="77777777" w:rsidR="00330C1B" w:rsidRDefault="00000000">
      <w:r>
        <w:t>Five parts. The first two are what a parameter is and where its declaration lives; the third is the one writer; the fourth is where carry-over happens; the fifth is a session that already exists.</w:t>
      </w:r>
    </w:p>
    <w:p w14:paraId="74D9028E" w14:textId="77777777" w:rsidR="00330C1B" w:rsidRDefault="00000000">
      <w:r>
        <w:t>C-13a — the class. ChatHealthyLib/src/chathealthy_lib/authentication/user_parameters.py stops being a class with one attribute per parameter. UserParameters becomes a map of page to a map of attribute to entry, and the entry is where the facts about a write live:</w:t>
      </w:r>
    </w:p>
    <w:tbl>
      <w:tblPr>
        <w:tblStyle w:val="LightGrid-Accent1"/>
        <w:tblW w:w="0" w:type="auto"/>
        <w:tblLook w:val="04A0" w:firstRow="1" w:lastRow="0" w:firstColumn="1" w:lastColumn="0" w:noHBand="0" w:noVBand="1"/>
      </w:tblPr>
      <w:tblGrid>
        <w:gridCol w:w="2206"/>
        <w:gridCol w:w="2631"/>
        <w:gridCol w:w="4019"/>
      </w:tblGrid>
      <w:tr w:rsidR="00330C1B" w14:paraId="714DDAC9" w14:textId="77777777" w:rsidTr="00330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4440071" w14:textId="77777777" w:rsidR="00330C1B" w:rsidRDefault="00000000">
            <w:r>
              <w:rPr>
                <w:sz w:val="18"/>
              </w:rPr>
              <w:t>Field on the entry</w:t>
            </w:r>
          </w:p>
        </w:tc>
        <w:tc>
          <w:tcPr>
            <w:tcW w:w="2736" w:type="dxa"/>
          </w:tcPr>
          <w:p w14:paraId="7FD1B674"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Shape</w:t>
            </w:r>
          </w:p>
        </w:tc>
        <w:tc>
          <w:tcPr>
            <w:tcW w:w="4320" w:type="dxa"/>
          </w:tcPr>
          <w:p w14:paraId="2B518451"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What it holds</w:t>
            </w:r>
          </w:p>
        </w:tc>
      </w:tr>
      <w:tr w:rsidR="00330C1B" w14:paraId="3F991472"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2CF362C" w14:textId="77777777" w:rsidR="00330C1B" w:rsidRDefault="00000000">
            <w:r>
              <w:rPr>
                <w:sz w:val="17"/>
              </w:rPr>
              <w:t>value</w:t>
            </w:r>
          </w:p>
        </w:tc>
        <w:tc>
          <w:tcPr>
            <w:tcW w:w="2736" w:type="dxa"/>
          </w:tcPr>
          <w:p w14:paraId="725E1836"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declared value type</w:t>
            </w:r>
          </w:p>
        </w:tc>
        <w:tc>
          <w:tcPr>
            <w:tcW w:w="4320" w:type="dxa"/>
          </w:tcPr>
          <w:p w14:paraId="1ED3D4D8"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value in force.</w:t>
            </w:r>
          </w:p>
        </w:tc>
      </w:tr>
      <w:tr w:rsidR="00330C1B" w14:paraId="06D5A3C3"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EB2392B" w14:textId="77777777" w:rsidR="00330C1B" w:rsidRDefault="00000000">
            <w:r>
              <w:rPr>
                <w:sz w:val="17"/>
              </w:rPr>
              <w:t>route</w:t>
            </w:r>
          </w:p>
        </w:tc>
        <w:tc>
          <w:tcPr>
            <w:tcW w:w="2736" w:type="dxa"/>
          </w:tcPr>
          <w:p w14:paraId="46482C11"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tool | gateway | utterance_manager</w:t>
            </w:r>
          </w:p>
        </w:tc>
        <w:tc>
          <w:tcPr>
            <w:tcW w:w="4320" w:type="dxa"/>
          </w:tcPr>
          <w:p w14:paraId="59CF7558"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Which of the three routes wrote it (S-003-REQ-B-005).</w:t>
            </w:r>
          </w:p>
        </w:tc>
      </w:tr>
      <w:tr w:rsidR="00330C1B" w14:paraId="681C1091"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CF82DCE" w14:textId="77777777" w:rsidR="00330C1B" w:rsidRDefault="00000000">
            <w:r>
              <w:rPr>
                <w:sz w:val="17"/>
              </w:rPr>
              <w:t>determination</w:t>
            </w:r>
          </w:p>
        </w:tc>
        <w:tc>
          <w:tcPr>
            <w:tcW w:w="2736" w:type="dxa"/>
          </w:tcPr>
          <w:p w14:paraId="680219FD"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rule | model</w:t>
            </w:r>
          </w:p>
        </w:tc>
        <w:tc>
          <w:tcPr>
            <w:tcW w:w="4320" w:type="dxa"/>
          </w:tcPr>
          <w:p w14:paraId="33ABFD2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Whether a rule determined it or a model inferred it (S-</w:t>
            </w:r>
            <w:r>
              <w:rPr>
                <w:sz w:val="17"/>
              </w:rPr>
              <w:t>003-REQ-B-006).</w:t>
            </w:r>
          </w:p>
        </w:tc>
      </w:tr>
      <w:tr w:rsidR="00330C1B" w14:paraId="6B43A349"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7B4827D" w14:textId="77777777" w:rsidR="00330C1B" w:rsidRDefault="00000000">
            <w:r>
              <w:rPr>
                <w:sz w:val="17"/>
              </w:rPr>
              <w:t>carried_from</w:t>
            </w:r>
          </w:p>
        </w:tc>
        <w:tc>
          <w:tcPr>
            <w:tcW w:w="2736" w:type="dxa"/>
          </w:tcPr>
          <w:p w14:paraId="02FEB9E6"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a page name, or absent</w:t>
            </w:r>
          </w:p>
        </w:tc>
        <w:tc>
          <w:tcPr>
            <w:tcW w:w="4320" w:type="dxa"/>
          </w:tcPr>
          <w:p w14:paraId="012E60C9"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source page when it arrived by carry-over (S-005-REQ-B-008). Absent when the person or a tool set it here.</w:t>
            </w:r>
          </w:p>
        </w:tc>
      </w:tr>
    </w:tbl>
    <w:p w14:paraId="1CDC1510" w14:textId="77777777" w:rsidR="00330C1B" w:rsidRDefault="00000000">
      <w:r>
        <w:t>Putting route, determination and source page on the entry rather than in the invocation history is what makes them readable at the moment the parameter is read. The library keeps Geography, ProviderName and Specialty unchanged: those are value shapes, not parameter definitions, and a value still validates into a model rather than travelling as loose JSON. selected_or_all leaves the class — it is a rule about one page, and a rule about a page does not belong to the container that holds every page. The docstring stating that a parameter means the same thing everywhere is removed with the shape it described.</w:t>
      </w:r>
    </w:p>
    <w:p w14:paraId="4220BCB0" w14:textId="77777777" w:rsidR="00330C1B" w:rsidRDefault="00000000">
      <w:r>
        <w:t>C-13b — the declaration. It is a document, not code, in ChatHealthyConfig on the front-end cluster, keyed by env exactly as DBVersions is:</w:t>
      </w:r>
    </w:p>
    <w:tbl>
      <w:tblPr>
        <w:tblStyle w:val="LightGrid-Accent1"/>
        <w:tblW w:w="0" w:type="auto"/>
        <w:tblLook w:val="04A0" w:firstRow="1" w:lastRow="0" w:firstColumn="1" w:lastColumn="0" w:noHBand="0" w:noVBand="1"/>
      </w:tblPr>
      <w:tblGrid>
        <w:gridCol w:w="1951"/>
        <w:gridCol w:w="6905"/>
      </w:tblGrid>
      <w:tr w:rsidR="00330C1B" w14:paraId="1EE2B59C" w14:textId="77777777" w:rsidTr="00330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CF3766A" w14:textId="77777777" w:rsidR="00330C1B" w:rsidRDefault="00000000">
            <w:r>
              <w:rPr>
                <w:sz w:val="18"/>
              </w:rPr>
              <w:t>Element</w:t>
            </w:r>
          </w:p>
        </w:tc>
        <w:tc>
          <w:tcPr>
            <w:tcW w:w="7344" w:type="dxa"/>
          </w:tcPr>
          <w:p w14:paraId="2312AF7B"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Shape</w:t>
            </w:r>
          </w:p>
        </w:tc>
      </w:tr>
      <w:tr w:rsidR="00330C1B" w14:paraId="5EB7AEB1"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A5DF6CA" w14:textId="77777777" w:rsidR="00330C1B" w:rsidRDefault="00000000">
            <w:r>
              <w:rPr>
                <w:sz w:val="17"/>
              </w:rPr>
              <w:t>pages[]</w:t>
            </w:r>
          </w:p>
        </w:tc>
        <w:tc>
          <w:tcPr>
            <w:tcW w:w="7344" w:type="dxa"/>
          </w:tcPr>
          <w:p w14:paraId="01D18A6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page (one of the four), attributes[] of {name, value_type}.</w:t>
            </w:r>
          </w:p>
        </w:tc>
      </w:tr>
      <w:tr w:rsidR="00330C1B" w14:paraId="16B052AE"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47B5A042" w14:textId="77777777" w:rsidR="00330C1B" w:rsidRDefault="00000000">
            <w:r>
              <w:rPr>
                <w:sz w:val="17"/>
              </w:rPr>
              <w:t>carry_over[]</w:t>
            </w:r>
          </w:p>
        </w:tc>
        <w:tc>
          <w:tcPr>
            <w:tcW w:w="7344" w:type="dxa"/>
          </w:tcPr>
          <w:p w14:paraId="1DD1DA4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{parameter, from, to} — one entry per permitted movement, and the absence of an entry is the refusal (S-002-REQ-B-003).</w:t>
            </w:r>
          </w:p>
        </w:tc>
      </w:tr>
    </w:tbl>
    <w:p w14:paraId="0560921D" w14:textId="77777777" w:rsidR="00330C1B" w:rsidRDefault="00000000">
      <w:r>
        <w:t>It is read by the mechanism that already reads DBVersions: the same database, the same cluster, the same ChatHealthyMongoUtilities connection under frontendUser, bound at startup by bind_from_manifest in runtime_data_collections.py and rebindable in place through the bearer-gated /admin/swap that module already exposes. That is the whole of how EPIC-006-F-008-S-002-REQ-B-002 is met — the without-a-release clause needs no new component because the runtime already reads its own configuration from a place an operator can change. SharedServices ships this module and runs under the same identity against the same cluster, so the tool can read the declaration where it runs.</w:t>
      </w:r>
    </w:p>
    <w:p w14:paraId="64D21F26" w14:textId="77777777" w:rsidR="00330C1B" w:rsidRDefault="00000000">
      <w:r>
        <w:t>The four page names are not in the document. They are fixed in the code that validates it, because EPIC-006-F-008-S-001-REQ-B-002 closes the set and a closed set held as data is a set an edit can open.</w:t>
      </w:r>
    </w:p>
    <w:p w14:paraId="6C01F2FB" w14:textId="77777777" w:rsidR="00330C1B" w:rsidRDefault="00000000">
      <w:r>
        <w:t>C-13c — the tool. sharedServices/Code/UserParameters/user_parameters_tool.py deletes the WRITABLE tuple. Validation becomes two lookups against the declaration: the page against the four, then the attribute against that page's declared attributes. A name failing either is refused with the same message shape it is refused with today.</w:t>
      </w:r>
    </w:p>
    <w:p w14:paraId="21D382E4" w14:textId="77777777" w:rsidR="00330C1B" w:rsidRDefault="00000000">
      <w:pPr>
        <w:pStyle w:val="ListBullet"/>
      </w:pPr>
      <w:r>
        <w:t>Request gains page beside the existing name, so a parameter is addressed as a pair and there is no unqualified form to accept (S-006-REQ-B-001). It gains route (C-14) and keeps origin as the determination.</w:t>
      </w:r>
    </w:p>
    <w:p w14:paraId="4A513A79" w14:textId="77777777" w:rsidR="00330C1B" w:rsidRDefault="00000000">
      <w:pPr>
        <w:pStyle w:val="ListBullet"/>
      </w:pPr>
      <w:r>
        <w:t>_coerce keys off the declared value_type rather than off the attribute name, so geography on the provider page and geography on the facility page coerce through one branch instead of two that can drift.</w:t>
      </w:r>
    </w:p>
    <w:p w14:paraId="293CFF09" w14:textId="77777777" w:rsidR="00330C1B" w:rsidRDefault="00000000">
      <w:pPr>
        <w:pStyle w:val="ListBullet"/>
      </w:pPr>
      <w:r>
        <w:t>clear_all splits into clear_page and clear_all, which are S-005-REQ-B-005 and REQ-B-006. clear stays as the single-attribute verb.</w:t>
      </w:r>
    </w:p>
    <w:p w14:paraId="2410D643" w14:textId="77777777" w:rsidR="00330C1B" w:rsidRDefault="00000000">
      <w:pPr>
        <w:pStyle w:val="ListBullet"/>
      </w:pPr>
      <w:r>
        <w:t>A changes[] list is accepted on one request. The tool validates every change, builds the whole new parameter state, and writes it once — which is how S-004-REQ-B-006 is met without a transaction, since the state is one document. Any change failing validation means none is written.</w:t>
      </w:r>
    </w:p>
    <w:p w14:paraId="34F88196" w14:textId="77777777" w:rsidR="00330C1B" w:rsidRDefault="00000000">
      <w:pPr>
        <w:pStyle w:val="ListBullet"/>
      </w:pPr>
      <w:r>
        <w:t>The response reports what was written after the write is acknowledged, and reports the failure with the parameters named when it is not (S-004-REQ-B-003, REQ-B-005).</w:t>
      </w:r>
    </w:p>
    <w:p w14:paraId="3C9028A4" w14:textId="77777777" w:rsidR="00330C1B" w:rsidRDefault="00000000">
      <w:r>
        <w:t>C-13d — where carry-over is applied. In the router, on dispatch to a page, and nowhere else. UniversalNavigationTool reads the declared triples whose destination is the page it is about to dispatch, takes those whose source page holds a value, and writes each one whose destination attribute is empty through the tool of C-13c with carried_from set to the source page. It is an ordinary write, so it validates like any other and is recorded like any other (S-002-REQ-B-004), and it fills without overwriting (S-002-REQ-B-005). Applying it at dispatch rather than at write time is what keeps it per destination: the same value carries to one page and not to another because the dispatch is to one page.</w:t>
      </w:r>
    </w:p>
    <w:p w14:paraId="0173EA8F" w14:textId="77777777" w:rsidR="00330C1B" w:rsidRDefault="00000000">
      <w:r>
        <w:t>C-13e — a session already holding the old shape. There is no migration job. On hydration, a session document whose parameters are the flat shape is converted in memory by the disposition table of §3.8.2 — each flat name becomes its page-qualified successor, a name whose disposition is withdrawal is dropped, and page_cursors is dropped as withdrawn — with route recorded as the route that hydrated it and determination carried where the old shape held one. The converted shape is written back by the next ordinary write. A session never touched again expires holding the old shape and is never read again, which is why converting on read costs nothing and converting every document would.</w:t>
      </w:r>
    </w:p>
    <w:p w14:paraId="56FA0E4B" w14:textId="77777777" w:rsidR="00330C1B" w:rsidRDefault="00000000">
      <w:pPr>
        <w:pStyle w:val="Heading2"/>
      </w:pPr>
      <w:r>
        <w:t>3.9 How the capabilities compose</w:t>
      </w:r>
    </w:p>
    <w:p w14:paraId="520342BD" w14:textId="77777777" w:rsidR="00330C1B" w:rsidRDefault="00000000">
      <w:r>
        <w:t>One turn, end to end, with every hop naming a real component.</w:t>
      </w:r>
    </w:p>
    <w:p w14:paraId="62243CC0" w14:textId="77777777" w:rsidR="00330C1B" w:rsidRDefault="00000000">
      <w:pPr>
        <w:pStyle w:val="ListBullet"/>
      </w:pPr>
      <w:r>
        <w:t>The browser posts to /gate with an op and the session token. Nothing else in the application is called.</w:t>
      </w:r>
    </w:p>
    <w:p w14:paraId="233B87C4" w14:textId="77777777" w:rsidR="00330C1B" w:rsidRDefault="00000000">
      <w:pPr>
        <w:pStyle w:val="ListBullet"/>
      </w:pPr>
      <w:r>
        <w:t>The gateway verifies the token, hydrates the session — parameters, selections, positions, open details — and hands the request to the router.</w:t>
      </w:r>
    </w:p>
    <w:p w14:paraId="3DD420E7" w14:textId="77777777" w:rsidR="00330C1B" w:rsidRDefault="00000000">
      <w:pPr>
        <w:pStyle w:val="ListBullet"/>
      </w:pPr>
      <w:r>
        <w:t>For a typed utterance the router dispatches the utterance manager, which classifies it into an intent document and writes what it extracted as parameters through the one write path.</w:t>
      </w:r>
    </w:p>
    <w:p w14:paraId="0DFF0853" w14:textId="77777777" w:rsidR="00330C1B" w:rsidRDefault="00000000">
      <w:pPr>
        <w:pStyle w:val="ListBullet"/>
      </w:pPr>
      <w:r>
        <w:t>The router validates the intent document and dispatches the target action. For a care-giver search on a new complaint that is the specialty filter first (§3.4), whose codes it writes as a parameter, then the provider search (§3.2).</w:t>
      </w:r>
    </w:p>
    <w:p w14:paraId="0BEF19CB" w14:textId="77777777" w:rsidR="00330C1B" w:rsidRDefault="00000000">
      <w:pPr>
        <w:pStyle w:val="ListBullet"/>
      </w:pPr>
      <w:r>
        <w:t>The domain tool calls the FindCare service, which queries the collection bound for this environment and returns rows, a total, refinement counts and a summary.</w:t>
      </w:r>
    </w:p>
    <w:p w14:paraId="6EBD38B7" w14:textId="77777777" w:rsidR="00330C1B" w:rsidRDefault="00000000">
      <w:pPr>
        <w:pStyle w:val="ListBullet"/>
      </w:pPr>
      <w:r>
        <w:t>The router streams the result to the browser as broadcasts. The panels paint. The turn ends with one terminal event, which is what stops the timer of §3.2.4.</w:t>
      </w:r>
    </w:p>
    <w:p w14:paraId="6C35B89E" w14:textId="77777777" w:rsidR="00330C1B" w:rsidRDefault="00000000">
      <w:r>
        <w:t>Every step reads parameters and none of them holds state of its own, which is what allows the person to change one thing and re-run: the next turn reads the same map with one value different.</w:t>
      </w:r>
    </w:p>
    <w:p w14:paraId="63F87437" w14:textId="77777777" w:rsidR="00330C1B" w:rsidRDefault="00000000">
      <w:pPr>
        <w:pStyle w:val="Heading2"/>
      </w:pPr>
      <w:r>
        <w:t>3.10 Where FindCare calls a model</w:t>
      </w:r>
    </w:p>
    <w:p w14:paraId="4D8F54B2" w14:textId="77777777" w:rsidR="00330C1B" w:rsidRDefault="00000000">
      <w:r>
        <w:t>BUG-003 records that eleven call sites construct a vendor SDK client directly instead of using the facade at ChatHealthyLib/src/chathealthy_lib/llm.py. The list is dated 2026-08-07 and the line numbers have drifted, so the FindCare sites were re-established against the code as it stands. Nine model calls were found in FindCare code, judged by what the file does rather than where it sits, and each was tested against the 117 requirements before a disposition was chosen. Two survive.</w:t>
      </w:r>
    </w:p>
    <w:tbl>
      <w:tblPr>
        <w:tblStyle w:val="LightGrid-Accent1"/>
        <w:tblW w:w="0" w:type="auto"/>
        <w:tblLook w:val="04A0" w:firstRow="1" w:lastRow="0" w:firstColumn="1" w:lastColumn="0" w:noHBand="0" w:noVBand="1"/>
      </w:tblPr>
      <w:tblGrid>
        <w:gridCol w:w="3912"/>
        <w:gridCol w:w="1791"/>
        <w:gridCol w:w="1713"/>
        <w:gridCol w:w="1440"/>
      </w:tblGrid>
      <w:tr w:rsidR="00330C1B" w14:paraId="3A3F535C" w14:textId="77777777" w:rsidTr="00330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0EB10E07" w14:textId="77777777" w:rsidR="00330C1B" w:rsidRDefault="00000000">
            <w:r>
              <w:rPr>
                <w:sz w:val="18"/>
              </w:rPr>
              <w:t>Call site (today)</w:t>
            </w:r>
          </w:p>
        </w:tc>
        <w:tc>
          <w:tcPr>
            <w:tcW w:w="2304" w:type="dxa"/>
          </w:tcPr>
          <w:p w14:paraId="3973E275"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What it calls</w:t>
            </w:r>
          </w:p>
        </w:tc>
        <w:tc>
          <w:tcPr>
            <w:tcW w:w="2160" w:type="dxa"/>
          </w:tcPr>
          <w:p w14:paraId="2DC37A06"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Reached by</w:t>
            </w:r>
          </w:p>
        </w:tc>
        <w:tc>
          <w:tcPr>
            <w:tcW w:w="1728" w:type="dxa"/>
          </w:tcPr>
          <w:p w14:paraId="3F2CF1A6"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Disposition</w:t>
            </w:r>
          </w:p>
        </w:tc>
      </w:tr>
      <w:tr w:rsidR="00330C1B" w14:paraId="1B729803"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A6DB309" w14:textId="77777777" w:rsidR="00330C1B" w:rsidRDefault="00000000">
            <w:r>
              <w:rPr>
                <w:sz w:val="17"/>
              </w:rPr>
              <w:t>FindCare/SpecialtyFilter/filter.py:175 normalize_query</w:t>
            </w:r>
          </w:p>
        </w:tc>
        <w:tc>
          <w:tcPr>
            <w:tcW w:w="2304" w:type="dxa"/>
          </w:tcPr>
          <w:p w14:paraId="4D7A261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OpenAI chat, model from the constructor</w:t>
            </w:r>
          </w:p>
        </w:tc>
        <w:tc>
          <w:tcPr>
            <w:tcW w:w="2160" w:type="dxa"/>
          </w:tcPr>
          <w:p w14:paraId="6214985F"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Specialty filter stage 1</w:t>
            </w:r>
          </w:p>
        </w:tc>
        <w:tc>
          <w:tcPr>
            <w:tcW w:w="1728" w:type="dxa"/>
          </w:tcPr>
          <w:p w14:paraId="4B26680D"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ROUTE — F-003-S-001-REQ-B-002</w:t>
            </w:r>
          </w:p>
        </w:tc>
      </w:tr>
      <w:tr w:rsidR="00330C1B" w14:paraId="77CF03C0"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63E640A" w14:textId="77777777" w:rsidR="00330C1B" w:rsidRDefault="00000000">
            <w:r>
              <w:rPr>
                <w:sz w:val="17"/>
              </w:rPr>
              <w:t>FindCare/SpecialtyFilter/filter.py:297 filter_candidates</w:t>
            </w:r>
          </w:p>
        </w:tc>
        <w:tc>
          <w:tcPr>
            <w:tcW w:w="2304" w:type="dxa"/>
          </w:tcPr>
          <w:p w14:paraId="729088E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OpenAI chat, model from the constructor</w:t>
            </w:r>
          </w:p>
        </w:tc>
        <w:tc>
          <w:tcPr>
            <w:tcW w:w="2160" w:type="dxa"/>
          </w:tcPr>
          <w:p w14:paraId="2DE10BBE"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Specialty filter stage 4</w:t>
            </w:r>
          </w:p>
        </w:tc>
        <w:tc>
          <w:tcPr>
            <w:tcW w:w="1728" w:type="dxa"/>
          </w:tcPr>
          <w:p w14:paraId="2D8C3B63"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ROUTE — F-003-S-001-REQ-B-002</w:t>
            </w:r>
          </w:p>
        </w:tc>
      </w:tr>
      <w:tr w:rsidR="00330C1B" w14:paraId="0BD6B8B2"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BCFE531" w14:textId="77777777" w:rsidR="00330C1B" w:rsidRDefault="00000000">
            <w:r>
              <w:rPr>
                <w:sz w:val="17"/>
              </w:rPr>
              <w:t>infrastructure/embeddings/embedding_client.py:55 get_specialty_vector</w:t>
            </w:r>
          </w:p>
        </w:tc>
        <w:tc>
          <w:tcPr>
            <w:tcW w:w="2304" w:type="dxa"/>
          </w:tcPr>
          <w:p w14:paraId="5198802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OpenAI embeddings, text-embedding-3-large as a literal</w:t>
            </w:r>
          </w:p>
        </w:tc>
        <w:tc>
          <w:tcPr>
            <w:tcW w:w="2160" w:type="dxa"/>
          </w:tcPr>
          <w:p w14:paraId="62798C4B"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Specialty filter stage 2, via app.py:224</w:t>
            </w:r>
          </w:p>
        </w:tc>
        <w:tc>
          <w:tcPr>
            <w:tcW w:w="1728" w:type="dxa"/>
          </w:tcPr>
          <w:p w14:paraId="6C080C8F"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ROUTE — F-003-S-001-REQ-B-002</w:t>
            </w:r>
          </w:p>
        </w:tc>
      </w:tr>
      <w:tr w:rsidR="00330C1B" w14:paraId="055D6886"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7784A1F" w14:textId="77777777" w:rsidR="00330C1B" w:rsidRDefault="00000000">
            <w:r>
              <w:rPr>
                <w:sz w:val="17"/>
              </w:rPr>
              <w:t>infrastructure/embeddings/embedding_client.py:62 expand_query_terms</w:t>
            </w:r>
          </w:p>
        </w:tc>
        <w:tc>
          <w:tcPr>
            <w:tcW w:w="2304" w:type="dxa"/>
          </w:tcPr>
          <w:p w14:paraId="6CC06FB6"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OpenAI chat, gpt-4.1-mini</w:t>
            </w:r>
          </w:p>
        </w:tc>
        <w:tc>
          <w:tcPr>
            <w:tcW w:w="2160" w:type="dxa"/>
          </w:tcPr>
          <w:p w14:paraId="2D8A7AE6"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Nothing. Zero callers.</w:t>
            </w:r>
          </w:p>
        </w:tc>
        <w:tc>
          <w:tcPr>
            <w:tcW w:w="1728" w:type="dxa"/>
          </w:tcPr>
          <w:p w14:paraId="3499A50B"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ELIMINATE</w:t>
            </w:r>
          </w:p>
        </w:tc>
      </w:tr>
      <w:tr w:rsidR="00330C1B" w14:paraId="73646449"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6B7F81C4" w14:textId="77777777" w:rsidR="00330C1B" w:rsidRDefault="00000000">
            <w:r>
              <w:rPr>
                <w:sz w:val="17"/>
              </w:rPr>
              <w:t>infrastructure/embeddings/embedding_client.py:36 get_query_embedding</w:t>
            </w:r>
          </w:p>
        </w:tc>
        <w:tc>
          <w:tcPr>
            <w:tcW w:w="2304" w:type="dxa"/>
          </w:tcPr>
          <w:p w14:paraId="15A2390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OpenAI embeddings</w:t>
            </w:r>
          </w:p>
        </w:tc>
        <w:tc>
          <w:tcPr>
            <w:tcW w:w="2160" w:type="dxa"/>
          </w:tcPr>
          <w:p w14:paraId="0B72D96D"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app.py:227, feeding the vector search C-01 deletes</w:t>
            </w:r>
          </w:p>
        </w:tc>
        <w:tc>
          <w:tcPr>
            <w:tcW w:w="1728" w:type="dxa"/>
          </w:tcPr>
          <w:p w14:paraId="500BE531"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ELIMINATE</w:t>
            </w:r>
          </w:p>
        </w:tc>
      </w:tr>
      <w:tr w:rsidR="00330C1B" w14:paraId="4043E0AA"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6D683C67" w14:textId="77777777" w:rsidR="00330C1B" w:rsidRDefault="00000000">
            <w:r>
              <w:rPr>
                <w:sz w:val="17"/>
              </w:rPr>
              <w:t>backend/app.py:941 extract_user_search_term</w:t>
            </w:r>
          </w:p>
        </w:tc>
        <w:tc>
          <w:tcPr>
            <w:tcW w:w="2304" w:type="dxa"/>
          </w:tcPr>
          <w:p w14:paraId="52E22D3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OpenAI chat, gpt-4.1-mini</w:t>
            </w:r>
          </w:p>
        </w:tc>
        <w:tc>
          <w:tcPr>
            <w:tcW w:w="2160" w:type="dxa"/>
          </w:tcPr>
          <w:p w14:paraId="49EE2D5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app.py:1134 and :1164, on the /chat route only</w:t>
            </w:r>
          </w:p>
        </w:tc>
        <w:tc>
          <w:tcPr>
            <w:tcW w:w="1728" w:type="dxa"/>
          </w:tcPr>
          <w:p w14:paraId="514E3494"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ELIMINATE</w:t>
            </w:r>
          </w:p>
        </w:tc>
      </w:tr>
      <w:tr w:rsidR="00330C1B" w14:paraId="714ABF28"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070EBDDE" w14:textId="77777777" w:rsidR="00330C1B" w:rsidRDefault="00000000">
            <w:r>
              <w:rPr>
                <w:sz w:val="17"/>
              </w:rPr>
              <w:t>backend/app.py:971 strip_redundant_summary</w:t>
            </w:r>
          </w:p>
        </w:tc>
        <w:tc>
          <w:tcPr>
            <w:tcW w:w="2304" w:type="dxa"/>
          </w:tcPr>
          <w:p w14:paraId="5B96948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OpenAI chat, gpt-4.1-mini</w:t>
            </w:r>
          </w:p>
        </w:tc>
        <w:tc>
          <w:tcPr>
            <w:tcW w:w="2160" w:type="dxa"/>
          </w:tcPr>
          <w:p w14:paraId="3ACD3006"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app.py:1176, on the /chat route only</w:t>
            </w:r>
          </w:p>
        </w:tc>
        <w:tc>
          <w:tcPr>
            <w:tcW w:w="1728" w:type="dxa"/>
          </w:tcPr>
          <w:p w14:paraId="6CB8315D"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ELIMINATE</w:t>
            </w:r>
          </w:p>
        </w:tc>
      </w:tr>
      <w:tr w:rsidR="00330C1B" w14:paraId="0A2E9BCC"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B9463D5" w14:textId="77777777" w:rsidR="00330C1B" w:rsidRDefault="00000000">
            <w:r>
              <w:rPr>
                <w:sz w:val="17"/>
              </w:rPr>
              <w:t>domain/find_care/specialty_ranker.py</w:t>
            </w:r>
          </w:p>
        </w:tc>
        <w:tc>
          <w:tcPr>
            <w:tcW w:w="2304" w:type="dxa"/>
          </w:tcPr>
          <w:p w14:paraId="66C6B76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Nothing — the file has no function</w:t>
            </w:r>
          </w:p>
        </w:tc>
        <w:tc>
          <w:tcPr>
            <w:tcW w:w="2160" w:type="dxa"/>
          </w:tcPr>
          <w:p w14:paraId="70778A4A"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Nothing.</w:t>
            </w:r>
          </w:p>
        </w:tc>
        <w:tc>
          <w:tcPr>
            <w:tcW w:w="1728" w:type="dxa"/>
          </w:tcPr>
          <w:p w14:paraId="350133D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ELIMINATE the file</w:t>
            </w:r>
          </w:p>
        </w:tc>
      </w:tr>
      <w:tr w:rsidR="00330C1B" w14:paraId="2880F33B"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91B88AC" w14:textId="77777777" w:rsidR="00330C1B" w:rsidRDefault="00000000">
            <w:r>
              <w:rPr>
                <w:sz w:val="17"/>
              </w:rPr>
              <w:t>FindCare/ClinicalTrials/nucc_llm.py derive_nucc_codes_for_page</w:t>
            </w:r>
          </w:p>
        </w:tc>
        <w:tc>
          <w:tcPr>
            <w:tcW w:w="2304" w:type="dxa"/>
          </w:tcPr>
          <w:p w14:paraId="705704B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Anthropic via pydantic-ai</w:t>
            </w:r>
          </w:p>
        </w:tc>
        <w:tc>
          <w:tcPr>
            <w:tcW w:w="2160" w:type="dxa"/>
          </w:tcPr>
          <w:p w14:paraId="555D3008"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Nothing. Its caller was removed.</w:t>
            </w:r>
          </w:p>
        </w:tc>
        <w:tc>
          <w:tcPr>
            <w:tcW w:w="1728" w:type="dxa"/>
          </w:tcPr>
          <w:p w14:paraId="7308827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ELIMINATE the file</w:t>
            </w:r>
          </w:p>
        </w:tc>
      </w:tr>
    </w:tbl>
    <w:p w14:paraId="75FFF1AD" w14:textId="77777777" w:rsidR="00330C1B" w:rsidRDefault="00000000">
      <w:r>
        <w:t>Three sites named in BUG-003 are not FindCare and are not disposed of here: safety_service.py belongs to the emergency-lockout capability of EPIC-002-F-006, and consent_service.py to the consent framework of EPIC-002-F-005. A fourth, domain/find_care/homeopathic_resolver.py, sits in the FindCare tree and has zero callers; §3.4.2 takes the homeopathic marker from the flag the catalogue already carries, so no requirement reaches it and it is eliminated with the rest.</w:t>
      </w:r>
    </w:p>
    <w:p w14:paraId="76E7727B" w14:textId="77777777" w:rsidR="00330C1B" w:rsidRDefault="00000000">
      <w:pPr>
        <w:ind w:left="432"/>
      </w:pPr>
      <w:r>
        <w:rPr>
          <w:b/>
          <w:color w:val="990000"/>
        </w:rPr>
        <w:t xml:space="preserve">Code contradicts this design: </w:t>
      </w:r>
      <w:r>
        <w:rPr>
          <w:color w:val="990000"/>
        </w:rPr>
        <w:t>filter.py builds its own OpenAI client in _ensure_openai_client, checks OPENAI_API_KEY itself, and carries the vendor difference between model families at the call site — filter_candidates branches on the model name to choose between max_tokens and max_completion_tokens. embedding_client.py builds a second client and names text-embedding-3-large as a literal in two methods. No production file defines or imports the EMBED_MODEL constant that Code/ConversationalUX/FindCareChat/backend/tests/test_arch_constraints.py checks for, so the canonical embedding model of EPIC-008-F-011-S-004-REQ-B-001 is declared nowhere and written twice.</w:t>
      </w:r>
    </w:p>
    <w:p w14:paraId="281FC39C" w14:textId="77777777" w:rsidR="00330C1B" w:rsidRDefault="00000000">
      <w:pPr>
        <w:ind w:left="432"/>
      </w:pPr>
      <w:r>
        <w:rPr>
          <w:b/>
          <w:color w:val="005500"/>
        </w:rPr>
        <w:t>Designed change C-21</w:t>
      </w:r>
      <w:r>
        <w:rPr>
          <w:color w:val="005500"/>
          <w:sz w:val="18"/>
        </w:rPr>
        <w:t xml:space="preserve">  (owner: EPIC-003 owns the facade; the call sites are FindCare)  </w:t>
      </w:r>
      <w:r>
        <w:rPr>
          <w:color w:val="005500"/>
        </w:rPr>
        <w:t xml:space="preserve">The three surviving calls go through the facade. _ensure_openai_client and the OPENAI_API_KEY check </w:t>
      </w:r>
      <w:r>
        <w:rPr>
          <w:color w:val="005500"/>
        </w:rPr>
        <w:t>are deleted from filter.py, and both chat stages become one pydantic-ai Agent each, run through run_llm_sync with call_site, provider, server="find_care" and component="SpecialtyFilter" — the sync entry point exists and its docstring already names this caller as the reason it exists. The stages keep their own agents because they are two different asks with two different prompts and two different output shapes; what they stop keeping is a client, a credential, a retry policy and a vendor quirk. The max_tokens branch goes: which keyword a model family accepts is vendor shape, and the facade is where vendor shape lives.</w:t>
      </w:r>
    </w:p>
    <w:p w14:paraId="659FF2F0" w14:textId="77777777" w:rsidR="00330C1B" w:rsidRDefault="00000000">
      <w:pPr>
        <w:ind w:left="432"/>
      </w:pPr>
      <w:r>
        <w:rPr>
          <w:b/>
          <w:color w:val="005500"/>
        </w:rPr>
        <w:t>Designed change C-21a</w:t>
      </w:r>
      <w:r>
        <w:rPr>
          <w:color w:val="005500"/>
          <w:sz w:val="18"/>
        </w:rPr>
        <w:t xml:space="preserve">  (owner: EPIC-003)  </w:t>
      </w:r>
      <w:r>
        <w:rPr>
          <w:color w:val="005500"/>
        </w:rPr>
        <w:t>What the facade must gain, part one: an embeddings entry point. run_llm and run_llm_sync wrap pydantic-ai Agent.run and run_sync, which is an agent abstraction and has no embeddings surface, so get_specialty_vector has nothing to route through today. llm.py gains embed(text, *, call_site, provider, server, component) built on the same three-rung ladder the two run functions already share — the same MAX_ATTEMPTS, the same TRANSIENT tuple, the same jittered backoff, the same raise_unavailable. This is the one thing this change needs that does not exist.</w:t>
      </w:r>
    </w:p>
    <w:p w14:paraId="4437D507" w14:textId="77777777" w:rsidR="00330C1B" w:rsidRDefault="00000000">
      <w:pPr>
        <w:ind w:left="432"/>
      </w:pPr>
      <w:r>
        <w:rPr>
          <w:b/>
          <w:color w:val="005500"/>
        </w:rPr>
        <w:t>Designed change C-21b</w:t>
      </w:r>
      <w:r>
        <w:rPr>
          <w:color w:val="005500"/>
          <w:sz w:val="18"/>
        </w:rPr>
        <w:t xml:space="preserve">  (owner: EPIC-003 owns the facade; EPIC-008-F-012 owns the record; EPIC-010 owns the pipeline caller)  </w:t>
      </w:r>
      <w:r>
        <w:rPr>
          <w:color w:val="005500"/>
        </w:rPr>
        <w:t>What the facade must gain, part two: the model name, declared once for the firm and bound to every target that embeds. There is one embedding model across the whole application, so there is no per-purpose map and nothing selects a model at a call site. The value is written once, as embedding_model in the firm block of brain/machine_artifacts/content/deployment_architecture.json — the existing top-level block for a fact that is true of the firm rather than of a target. Each target whose code embeds then carries one variable, CH_EMBEDDING_MODEL, whose declared value is the qualifier firm:embedding_model. That qualifier joins literal:, env_name, peer_url:, local_cert_file: and rename_from: in the vocabulary the deploy already resolves, and it dereferences the one declaration exactly as peer_url: dereferences another target record rather than restating its address. One declaration, two bindings: the FindCare target, whose code queries the vectors, and the pipeline target whose code writes them.</w:t>
      </w:r>
    </w:p>
    <w:p w14:paraId="2CF44057" w14:textId="77777777" w:rsidR="00330C1B" w:rsidRDefault="00000000">
      <w:pPr>
        <w:ind w:left="432"/>
      </w:pPr>
      <w:r>
        <w:rPr>
          <w:b/>
          <w:color w:val="005500"/>
        </w:rPr>
        <w:t>Designed change C-21b (continued)</w:t>
      </w:r>
      <w:r>
        <w:rPr>
          <w:color w:val="005500"/>
          <w:sz w:val="18"/>
        </w:rPr>
        <w:t xml:space="preserve">  (owner: EPIC-003 / EPIC-010)  </w:t>
      </w:r>
      <w:r>
        <w:rPr>
          <w:color w:val="005500"/>
        </w:rPr>
        <w:t>embed() takes no model argument. It reads CH_EMBEDDING_MODEL from the environment and raises ChatHealthyException(mode="config_error") when it is unset, with no default, because a default is a second declaration of the value and would be the thing this change exists to remove. The literals then go: embedding_client.py stops naming a model, and pipeline/Code/embedding_engine.py deletes its CANONICAL_MODEL constant and calls the facade instead of building its own OpenAI client. What EPIC-008-F-011-S-004-REQ-B-001 fixes for the application is then written in one place and read everywhere, rather than written as a literal in three production sites across two trees.</w:t>
      </w:r>
    </w:p>
    <w:p w14:paraId="3155186E" w14:textId="77777777" w:rsidR="00330C1B" w:rsidRDefault="00000000">
      <w:pPr>
        <w:ind w:left="432"/>
      </w:pPr>
      <w:r>
        <w:rPr>
          <w:b/>
          <w:color w:val="005500"/>
        </w:rPr>
        <w:t>Designed change C-21b — why the two targets cannot diverge</w:t>
      </w:r>
      <w:r>
        <w:rPr>
          <w:color w:val="005500"/>
          <w:sz w:val="18"/>
        </w:rPr>
        <w:t xml:space="preserve">  (owner: EPIC-008-F-012)  </w:t>
      </w:r>
      <w:r>
        <w:rPr>
          <w:color w:val="005500"/>
        </w:rPr>
        <w:t xml:space="preserve">The pipeline writes the vectors and FindCare queries them; if the two ever embed under different models the search returns nonsense and nothing raises, because both calls succeed. This is prevented by there being no per-target value to edit. A target does not carry the model name — it carries a reference to the declaration, so the only text in the record that names a model is the single firm entry, and changing it changes what both targets receive in the same edit. </w:t>
      </w:r>
      <w:r>
        <w:rPr>
          <w:color w:val="005500"/>
        </w:rPr>
        <w:t>Making the two differ is not a value change at all: it requires replacing a firm: qualifier with a literal: on one target, which alters the shape of the record and is visible as such in the diff the commit gate reads. The divergence stops being something an edit can do by accident. The data carries a second, weaker witness: embedding_engine.py already stores embedding_model on every row it writes, so a divergence that somehow reached the collection is legible in the row rather than only in the results.</w:t>
      </w:r>
    </w:p>
    <w:p w14:paraId="28971119" w14:textId="77777777" w:rsidR="00330C1B" w:rsidRDefault="00000000">
      <w:pPr>
        <w:ind w:left="432"/>
      </w:pPr>
      <w:r>
        <w:rPr>
          <w:b/>
          <w:color w:val="005500"/>
        </w:rPr>
        <w:t>Designed change C-21b — the test, and what the deploy detects</w:t>
      </w:r>
      <w:r>
        <w:rPr>
          <w:color w:val="005500"/>
          <w:sz w:val="18"/>
        </w:rPr>
        <w:t xml:space="preserve">  (owner: EPIC-008-F-012)  </w:t>
      </w:r>
      <w:r>
        <w:rPr>
          <w:color w:val="005500"/>
        </w:rPr>
        <w:t>Code/ConversationalUX/FindCareChat/backend/tests/test_arch_constraints.py currently checks that a file defines or imports EMBED_MODEL = "text-embedding-3-large". No production file does either, so the test guards a convention nothing follows while holding a fourth copy of the model name. It is rewritten to guard the real thing: that no production file names an embedding model as a literal anywhere, and that every target whose declared files reach the facade's embed() carries the CH_EMBEDDING_MODEL binding. The canonical value leaves the test and is read from the record, so the test stops being another place the name is written.</w:t>
      </w:r>
    </w:p>
    <w:p w14:paraId="4677BD74" w14:textId="77777777" w:rsidR="00330C1B" w:rsidRDefault="00000000">
      <w:pPr>
        <w:ind w:left="432"/>
      </w:pPr>
      <w:r>
        <w:rPr>
          <w:b/>
          <w:color w:val="005500"/>
        </w:rPr>
        <w:t>Designed change C-21c</w:t>
      </w:r>
      <w:r>
        <w:rPr>
          <w:color w:val="005500"/>
          <w:sz w:val="18"/>
        </w:rPr>
        <w:t xml:space="preserve">  (owner: EPIC-006)  </w:t>
      </w:r>
      <w:r>
        <w:rPr>
          <w:color w:val="005500"/>
        </w:rPr>
        <w:t>What the call sites do with a failure. The facade raises ChatHealthyException(mode="llm_unavailable") when the ladder is exhausted, and a mode naming the specific pydantic-ai failure when the run fails outright. filter.py needs no new catch: find_specialties is already the single catch point for every stage and already converts a stage exception into {"error": "&lt;stage&gt;: &lt;type&gt;: &lt;message&gt;"}, so llm_unavailable arrives there and is surfaced as the reason the specialty step produced nothing. That is the behaviour F-003 already requires — no fallback, no substitute list — and it is unchanged. What is deleted is the handling each site invented for itself: the missing-key raise, the empty-text and JSON-parse raises around a hand-parsed response, and the None-returning try/except in the embedding path. The two chat stages declare a typed output model on their agent instead of parsing a string, so a malformed answer is rejected by pydantic-ai and re-asked through an output validator raising ModelRetry, which Rule-065 statement 2 permits by name for exactly this.</w:t>
      </w:r>
    </w:p>
    <w:p w14:paraId="7AABEF04" w14:textId="77777777" w:rsidR="00330C1B" w:rsidRDefault="00000000">
      <w:pPr>
        <w:ind w:left="432"/>
      </w:pPr>
      <w:r>
        <w:rPr>
          <w:b/>
          <w:color w:val="990000"/>
        </w:rPr>
        <w:t xml:space="preserve">Code contradicts this design: </w:t>
      </w:r>
      <w:r>
        <w:rPr>
          <w:color w:val="990000"/>
        </w:rPr>
        <w:t>Seven of the nine model calls are reached by no requirement. Two have no caller at all (expand_query_terms, and get_query_embedding once C-01 removes the vector search it feeds); two exist only on the legacy /chat route; two are files nothing imports, one of which — specialty_ranker.py — holds a copyright header, a comment, four imports and no function, and is declared in deployment_architecture.json and carries a prompt record in prompts.json; and one, homeopathic_resolver.py, is a resolver for a marker the catalogue already carries.</w:t>
      </w:r>
    </w:p>
    <w:p w14:paraId="30FD7187" w14:textId="77777777" w:rsidR="00330C1B" w:rsidRDefault="00000000">
      <w:pPr>
        <w:ind w:left="432"/>
      </w:pPr>
      <w:r>
        <w:rPr>
          <w:b/>
          <w:color w:val="005500"/>
        </w:rPr>
        <w:t>Designed change C-22</w:t>
      </w:r>
      <w:r>
        <w:rPr>
          <w:color w:val="005500"/>
          <w:sz w:val="18"/>
        </w:rPr>
        <w:t xml:space="preserve">  (owner: EPIC-006, except where noted)  </w:t>
      </w:r>
      <w:r>
        <w:rPr>
          <w:color w:val="005500"/>
        </w:rPr>
        <w:t xml:space="preserve">Each elimination removes the call and everything that exists only to serve it. expand_query_terms and get_query_embedding are deleted from embedding_client.py, which then holds one method, one model and no chat client, and app.py stops passing get_embedding_fn when C-01 removes the argument. specialty_ranker.py is deleted, and with it its source_location entry in deployment_architecture.json and the gpt_specialty_ranker_system record in prompts.json — a prompt record whose source_file names a deleted file is a dangling reference, so the record goes with the file. nucc_llm.py is deleted with its own source_location entry; clinical trials do not touch NUCC codes, and §3.5 designs the trial path without them. homeopathic_resolver.py </w:t>
      </w:r>
      <w:r>
        <w:rPr>
          <w:color w:val="005500"/>
        </w:rPr>
        <w:t>is deleted. No requirement asks for specialty ranking, for NUCC derivation from a trial, for query expansion, or for a homeopathic resolution step, and a call no requirement asks for is work running on every request that nothing can justify.</w:t>
      </w:r>
    </w:p>
    <w:p w14:paraId="05F9124D" w14:textId="77777777" w:rsidR="00330C1B" w:rsidRDefault="00000000">
      <w:pPr>
        <w:ind w:left="432"/>
      </w:pPr>
      <w:r>
        <w:rPr>
          <w:b/>
          <w:color w:val="005500"/>
        </w:rPr>
        <w:t>Designed change C-22a</w:t>
      </w:r>
      <w:r>
        <w:rPr>
          <w:color w:val="005500"/>
          <w:sz w:val="18"/>
        </w:rPr>
        <w:t xml:space="preserve">  (owner: EPIC-002-F-010 supplies the value; EPIC-006 consumes it)  </w:t>
      </w:r>
      <w:r>
        <w:rPr>
          <w:color w:val="005500"/>
        </w:rPr>
        <w:t>The two /chat calls are the only ones whose removal takes something with it. strip_redundant_summary edits model-authored prose to delete the parts that duplicate the system summary; no requirement asks for model-authored provider prose, C-05 delivers the system summary on the gateway route, and a repair for text that should not be produced is deleted with the text. extract_user_search_term re-reads the utterance to recover the person's own phrase, which F-001-S-005-REQ-B-001 does need — but the utterance manager has already read that utterance in the same turn, so the phrase becomes one more value its classification writes as a parameter on the individualProvider page (§3.2.6), and the second model call disappears rather than being routed. That is not two concerns in one call: interpreting what a person said is the utterance manager's single concern, and this is one more thing said. Both call sites go, and with them the /chat route they serve — every requirement of this epic is met on the gateway route, and C-17 would otherwise have to put a signature check on a surface nothing needs.</w:t>
      </w:r>
    </w:p>
    <w:p w14:paraId="3F3FC7AC" w14:textId="77777777" w:rsidR="00330C1B" w:rsidRDefault="00000000">
      <w:r>
        <w:br w:type="page"/>
      </w:r>
    </w:p>
    <w:p>
      <w:pPr>
        <w:pStyle w:val="Heading2"/>
      </w:pPr>
      <w:r>
        <w:rPr>
          <w:color w:val="0B7A75"/>
        </w:rPr>
        <w:t>3.11 Where the system speaks, and which page owns what is open</w:t>
      </w:r>
    </w:p>
    <w:p>
      <w:r>
        <w:t>Three defects found in UAT on 2026-09-02 have one shape between them: a frame was written by something that did not own what it wrote, and no page held the fact that would have let anything take it down. Two requirements were authored and one rewritten to state what must be true; this section states how.</w:t>
      </w:r>
    </w:p>
    <w:p>
      <w:pPr>
        <w:pStyle w:val="Heading3"/>
      </w:pPr>
      <w:r>
        <w:rPr>
          <w:color w:val="0B7A75"/>
        </w:rPr>
        <w:t>Designed change C-25a — the summary is not part of the list</w:t>
      </w:r>
    </w:p>
    <w:p>
      <w:r>
        <w:t>(owner: EPIC-006-F-001)  The search summary was drawn above the provider rows in frame_MainWindow. It names the search term three times, and when that term was the resolved taxonomy set rather than the person's words it named nineteen labels three times over and took the frame the providers belong in. Two requirements now bound it: REQ-B-010 states what the list carries and forbids the summary being rendered among those elements, and REQ-B-009 still requires the summary be shown with the results it describes. Both hold only if the summary is in another frame. It is rendered in frame_UserMessage, which is where the system already speaks to the person about their query — the spelling correction is written there and the narrowing counts append beneath it — so nothing new owns a frame and the list keeps its own whole. The summary also names the person's words rather than the resolved labels, which REQ-B-001 already required and the code did not do.</w:t>
      </w:r>
    </w:p>
    <w:p>
      <w:pPr>
        <w:pStyle w:val="Heading3"/>
      </w:pPr>
      <w:r>
        <w:rPr>
          <w:color w:val="0B7A75"/>
        </w:rPr>
        <w:t>Designed change C-25b — a record is open on the page it belongs to</w:t>
      </w:r>
    </w:p>
    <w:p>
      <w:r>
        <w:t>(owner: EPIC-006-F-008)  Both the care-giver list and the facility list open a detail through one handler, and that handler recorded every opened record as individualProvider.openNpi. A facility was therefore held open on the care-giver page, facility.openNpi was never written by anything, and no page knew a facility was on screen. The handler now reads the entity type the caller already sends and records the open record on the page that owns it. Nothing else changes: one handler, one panel, one detail at a time.</w:t>
      </w:r>
    </w:p>
    <w:p>
      <w:pPr>
        <w:pStyle w:val="Heading3"/>
      </w:pPr>
      <w:r>
        <w:rPr>
          <w:color w:val="0B7A75"/>
        </w:rPr>
        <w:t>Designed change C-25c — a turn about one page takes the others down</w:t>
      </w:r>
    </w:p>
    <w:p>
      <w:r>
        <w:t>(owner: EPIC-006-F-008-S-002-REQ-B-006)  A new question already cleared this page's position and open record; it now clears every other page's as well, so nothing on screen belongs to a page the person has left. Clearing a parameter does not unpaint a frame, so where another page held a record open the server emits the same provider_detail_close event the deliberate close already uses. The panel comes down when the server says so, which is the rule that frame was already built on: a client deciding for itself would be a second place the rule lived.</w:t>
      </w:r>
    </w:p>
    <w:p>
      <w:pPr>
        <w:pStyle w:val="Heading3"/>
      </w:pPr>
      <w:r>
        <w:rPr>
          <w:color w:val="0B7A75"/>
        </w:rPr>
        <w:t>What proves it</w:t>
      </w:r>
    </w:p>
    <w:p>
      <w:r>
        <w:t>find_care_windows_uat_test.py carries two classes asserting these against the rendered DOM. TestTheListKeepsEveryElementItCarries checks the list carries every element REQ-B-010 names and that the summary is in the message frame and not among them. TestAPageTheTurnIsNotAboutShowsNothing opens a facility detail, asks for care givers, and asserts no window carries facility content and no window still names the facility's city.</w:t>
      </w:r>
    </w:p>
    <w:p>
      <w:r>
        <w:rPr>
          <w:color w:val="6B7280"/>
          <w:sz w:val="18"/>
        </w:rPr>
        <w:t>Authored 2026-09-02. 9 passed against local build 2244.</w:t>
      </w:r>
    </w:p>
    <w:p>
      <w:pPr>
        <w:pStyle w:val="Heading2"/>
      </w:pPr>
      <w:r>
        <w:rPr>
          <w:color w:val="0B7A75"/>
        </w:rPr>
        <w:t>3.12 Who may open the provider collection</w:t>
      </w:r>
    </w:p>
    <w:p>
      <w:r>
        <w:t>A user could not select a provider for evaluation. Clicking Select did nothing, dragging did nothing, the strip stayed at nought of five. The cause was not in the selection: ProviderSelectionTool computes whether the filter in force excludes a selected provider, that computation opens the provider collection, and it opens it from SharedServices.</w:t>
      </w:r>
    </w:p>
    <w:p>
      <w:pPr>
        <w:pStyle w:val="Heading3"/>
      </w:pPr>
      <w:r>
        <w:rPr>
          <w:color w:val="0B7A75"/>
        </w:rPr>
        <w:t>The invariant this broke</w:t>
      </w:r>
    </w:p>
    <w:p>
      <w:r>
        <w:t>FindCare owns the provider collection. SharedServices owns the session and the orchestration and reads no collection at all, which is why DBVersions binds collections to target_hf_space_findcare_backend and to nothing else. That record is not missing an entry; it states the design correctly. Two SharedServices tools -- provider selection and facility selection -- import providers_coll and open the collection directly, and that is the defect. Granting the binding would have made the record describe a design we do not hold and put a second place in the codebase that queries providers. It surfaced only now because the exclusion is computed solely when a filter is in force, so it sat unreachable until an operator applied one.</w:t>
      </w:r>
    </w:p>
    <w:p>
      <w:pPr>
        <w:pStyle w:val="Heading3"/>
      </w:pPr>
      <w:r>
        <w:rPr>
          <w:color w:val="0B7A75"/>
        </w:rPr>
        <w:t>The principle underneath it</w:t>
      </w:r>
    </w:p>
    <w:p>
      <w:r>
        <w:t>A component that has the record open when it builds an answer carries forward every fact the answer's consumers will need. FindCare has each provider open when it formats a row and drops the taxonomy list -- the one field the downstream question depends on -- so SharedServices reopened the collection to recover what it had just been sent. Wherever a receiver must re-read the source, the answer was under-specified.</w:t>
      </w:r>
    </w:p>
    <w:p>
      <w:pPr>
        <w:pStyle w:val="Heading3"/>
      </w:pPr>
      <w:r>
        <w:rPr>
          <w:color w:val="0B7A75"/>
        </w:rPr>
        <w:t>Designed change C-26 — the search answers for a set of records</w:t>
      </w:r>
    </w:p>
    <w:p>
      <w:r>
        <w:t>(owner: EPIC-006-F-001)  /search takes one npi today. It takes an array of them, because addressing a set of records by identity is the general shape and the single-npi form is a special case of it. A row carries the taxonomy codes of the provider it describes, so a record can answer questions about itself wherever it travels. SharedServices asks FindCare for the records it holds identities for, by the same peer call FacilitySearch already makes, and opens no collection. Both selection tools lose their import of providers_coll; neither had any business holding it.</w:t>
      </w:r>
    </w:p>
    <w:p>
      <w:pPr>
        <w:pStyle w:val="Heading3"/>
      </w:pPr>
      <w:r>
        <w:rPr>
          <w:color w:val="0B7A75"/>
        </w:rPr>
        <w:t>What was rejected and why</w:t>
      </w:r>
    </w:p>
    <w:p>
      <w:r>
        <w:t>Binding PROVIDER_COLLECTION to SharedServices was rejected: it fixes the symptom by writing the violation into the record. Holding the presented page's taxonomies on the session was rejected: it is state kept only to avoid asking, and it makes the session responsible for remembering something the owner can be asked for. An array of identities is the durable interface; the other two are the shortest edit.</w:t>
      </w:r>
    </w:p>
    <w:p>
      <w:pPr>
        <w:pStyle w:val="Heading3"/>
      </w:pPr>
      <w:r>
        <w:rPr>
          <w:color w:val="0B7A75"/>
        </w:rPr>
        <w:t>A second defect this uncovered</w:t>
      </w:r>
    </w:p>
    <w:p>
      <w:r>
        <w:t>The failure produced no log record of any kind. The router's broad catch recorded the exception into the final ok:false event and logged nothing, and two neighbouring catches -- an unreadable session and a failed session persist -- carried comments naming the level they should log at and a bare pass beneath. All three now record through ChatHealthyLoggingService with the mode, the component and the original exception. A tool could fail silently while the turn reported a clean final; that is how this stayed invisible until somebody clicked.</w:t>
      </w:r>
    </w:p>
    <w:p>
      <w:r>
        <w:rPr>
          <w:color w:val="6B7280"/>
          <w:sz w:val="18"/>
        </w:rPr>
        <w:t>Authored 2026-09-02.</w:t>
      </w:r>
    </w:p>
    <w:p>
      <w:pPr>
        <w:pStyle w:val="Heading2"/>
      </w:pPr>
      <w:r>
        <w:rPr>
          <w:color w:val="0B7A75"/>
        </w:rPr>
        <w:t>3.13 The application on a phone</w:t>
      </w:r>
    </w:p>
    <w:p>
      <w:r>
        <w:t>Measured on dev at 360x800 and 390x844, the desktop column arrangement survives intact: the left panel takes 69px and holds nothing, the right panel takes 69px and holds nothing, and a person reads the application through the 203px between them. Two empty panels take 38% of the screen. A provider row carries a name, an address, an NPI, a phone, a county, a specialty and two controls; the specialty panel is the primary means of narrowing a search and cannot exist at 69px. This is not a layout that needs tuning for a phone. It is the wrong arrangement for one.</w:t>
      </w:r>
    </w:p>
    <w:p>
      <w:pPr>
        <w:pStyle w:val="Heading3"/>
      </w:pPr>
      <w:r>
        <w:rPr>
          <w:color w:val="0B7A75"/>
        </w:rPr>
        <w:t>Designed change C-27 — one surface at a time</w:t>
      </w:r>
    </w:p>
    <w:p>
      <w:r>
        <w:t>(owner: EPIC-002-F-008)  Below 600px the wrapper stops arranging frames side by side and shows one at a time. The breakpoint is not a new choice: EPIC-002-F-008-S-001 already puts the static-page hamburger at 600px, so a phone is one thing across the site. The prompt is how a person talks to the application and is not one of the surfaces -- it stays beneath whichever surface is showing, as does the header and the copyright at the foot of the page.</w:t>
      </w:r>
    </w:p>
    <w:p>
      <w:pPr>
        <w:pStyle w:val="Heading3"/>
      </w:pPr>
      <w:r>
        <w:rPr>
          <w:color w:val="0B7A75"/>
        </w:rPr>
        <w:t>The surfaces and their order</w:t>
      </w:r>
    </w:p>
    <w:p>
      <w:r>
        <w:t>Three: the specialty filter, the results with the system's message beneath them, and the open detail. The order is not invented. It is the desktop arrangement read left to right -- the left panel at x=9, the main window at x=78, the right panel at x=282 -- so a swipe left from the results reaches the filter and a swipe right reaches the detail, and a person who has used the site on a desktop already knows where things are. The system's message measures the same column and width as the results and sits under them, so it is not a fourth stop; it travels with the results as it does on a desktop. The detail is a surface rather than an overlay: it takes its turn in the sequence, which is what the navigation exists for.</w:t>
      </w:r>
    </w:p>
    <w:p>
      <w:pPr>
        <w:pStyle w:val="Heading3"/>
      </w:pPr>
      <w:r>
        <w:rPr>
          <w:color w:val="0B7A75"/>
        </w:rPr>
        <w:t>Two ways between them</w:t>
      </w:r>
    </w:p>
    <w:p>
      <w:r>
        <w:t>The drawer names every surface and goes straight to one. A horizontal swipe moves to the neighbour. frame_MobileNavDrawer already exists in index.html and has never been shown, so the drawer is built and unused. Every link now in the header and the footer moves into it.</w:t>
      </w:r>
    </w:p>
    <w:p>
      <w:pPr>
        <w:pStyle w:val="Heading3"/>
      </w:pPr>
      <w:r>
        <w:rPr>
          <w:color w:val="0B7A75"/>
        </w:rPr>
        <w:t>Why this is not a second React application</w:t>
      </w:r>
    </w:p>
    <w:p>
      <w:r>
        <w:t>What differs on a phone is arrangement, and arrangement belongs to the wrapper: index.html owns all 24 frames and the React application authors content into them by postMessage without deciding where they sit. A second application would fork every widget and all their wiring -- the router protocol, the broadcast subscriptions, selection, pagination, the specialty panel -- to change a decision made one layer above them, and every requirement after it would be built twice and drift. That is the shape of what C-26 removed and of BUG-003. The widgets render at 360px; they are not duplicated for it.</w:t>
      </w:r>
    </w:p>
    <w:p>
      <w:pPr>
        <w:pStyle w:val="Heading3"/>
      </w:pPr>
      <w:r>
        <w:rPr>
          <w:color w:val="0B7A75"/>
        </w:rPr>
        <w:t>Where the rule falls</w:t>
      </w:r>
    </w:p>
    <w:p>
      <w:r>
        <w:t>Rule-065 statement 7 forbids the runtime driver authoring display content, and index.html and ClientRouter.js are the runtime driver rather than a static page. It says nothing about handling input. Showing and hiding a frame is what the wrapper already does for every popup and every routed action, so a swipe that changes which surface is visible is the same act as a click that opens the About window. The line is content: a handler that wrote text or markup into a frame would be authoring, and that is React's.</w:t>
      </w:r>
    </w:p>
    <w:p>
      <w:r>
        <w:rPr>
          <w:color w:val="6B7280"/>
          <w:sz w:val="18"/>
        </w:rPr>
        <w:t>Authored 2026-09-03.</w:t>
      </w:r>
    </w:p>
    <w:p>
      <w:pPr>
        <w:pStyle w:val="Heading3"/>
      </w:pPr>
      <w:r>
        <w:rPr>
          <w:color w:val="0B7A75"/>
        </w:rPr>
        <w:t>What this change is, and what it is not</w:t>
      </w:r>
    </w:p>
    <w:p>
      <w:r>
        <w:t>None of C-27 is a business capability. Search, narrow, select, open a detail and page through results are what they were; not one of them is added, removed or altered by any of it. What changes is how those capabilities are exposed to a person holding a phone. That is the whole of it, and it is why the separation rule never bore on the question: Rule-065 statement 7 guards where business logic lives and who authors display content, and moving between surfaces is neither -- it exposes capability rather than constituting any.</w:t>
        <w:br/>
        <w:br/>
        <w:t>It is also the sharper answer to whether a phone needs its own React application. A second application would duplicate every capability in order to change how they are exposed, which is the wrong way round. The capabilities stay in one place and the exposure changes above them.</w:t>
      </w:r>
    </w:p>
    <w:p>
      <w:pPr>
        <w:pStyle w:val="Heading3"/>
      </w:pPr>
      <w:r>
        <w:rPr>
          <w:color w:val="0B7A75"/>
        </w:rPr>
        <w:t>C-27 continued — finding an individual provider on a phone</w:t>
      </w:r>
    </w:p>
    <w:p>
      <w:pPr>
        <w:pStyle w:val="Heading4"/>
      </w:pPr>
      <w:r>
        <w:rPr>
          <w:color w:val="0B7A75"/>
        </w:rPr>
        <w:t>The three panels are the three surfaces</w:t>
      </w:r>
    </w:p>
    <w:p>
      <w:r>
        <w:t>Specialty filter left, provider list centre, provider detail right. This is the desktop arrangement and the order a swipe follows. The detail differs from the other two in that it exists only once a person has opened one, so the surfaces a phone can reach are two or three depending on what the person has done, not a fixed three.</w:t>
      </w:r>
    </w:p>
    <w:p>
      <w:pPr>
        <w:pStyle w:val="Heading4"/>
      </w:pPr>
      <w:r>
        <w:rPr>
          <w:color w:val="0B7A75"/>
        </w:rPr>
        <w:t>The menu names the panels first</w:t>
      </w:r>
    </w:p>
    <w:p>
      <w:r>
        <w:t>The drawer carries links to the panels above the site links it now holds, so the two ways between surfaces answer to the same list. The detail's entry is shown only while a detail is open, for the same reason it is not always a surface.</w:t>
      </w:r>
    </w:p>
    <w:p>
      <w:pPr>
        <w:pStyle w:val="Heading4"/>
      </w:pPr>
      <w:r>
        <w:rPr>
          <w:color w:val="0B7A75"/>
        </w:rPr>
        <w:t>A swipe needs to be visible</w:t>
      </w:r>
    </w:p>
    <w:p>
      <w:r>
        <w:t>Lines are painted between the panels so a person can see there is something either side to reach. A gesture with no affordance is a capability only the person who built it knows about; the line is what makes the swipe discoverable.</w:t>
      </w:r>
    </w:p>
    <w:p>
      <w:pPr>
        <w:pStyle w:val="Heading4"/>
      </w:pPr>
      <w:r>
        <w:rPr>
          <w:color w:val="0B7A75"/>
        </w:rPr>
        <w:t>The narrowings become a button and a dialogue</w:t>
      </w:r>
    </w:p>
    <w:p>
      <w:r>
        <w:t>The narrowing counts -- sex, practises alone, insurance -- occupy a block beneath the results. On a phone that block is a button, and the button opens a dialogue that operates on the list as the person chooses, returning the vertical space to the list and the selector. This is a change of exposure and not of capability: the same narrowings, the same counts, the same effect on the same list. It is worth noting that the narrowings themselves are exposed by no requirement in the backlog -- EPIC-006-F-001-S-005-REQ-B-008 covers location only -- so this describes the presentation of something that was never specified.</w:t>
      </w:r>
    </w:p>
    <w:p>
      <w:r>
        <w:rPr>
          <w:color w:val="6B7280"/>
          <w:sz w:val="18"/>
        </w:rPr>
        <w:t>Authored 2026-09-03, from the operator's Find-an-individual-provider mockup.</w:t>
      </w:r>
    </w:p>
    <w:p>
      <w:pPr>
        <w:pStyle w:val="Heading4"/>
      </w:pPr>
      <w:r>
        <w:rPr>
          <w:color w:val="0B7A75"/>
        </w:rPr>
        <w:t>C-27 applies below the breakpoint and nowhere else</w:t>
      </w:r>
    </w:p>
    <w:p>
      <w:r>
        <w:t>Every part of C-27 is phone-only. A wider screen keeps the arrangement it has: three panels side by side, the footer carrying its links, the brand at its size, no hamburger, no swipe and no dialogue in place of the narrowings. Nothing in C-27 is an improvement to the application that a desktop should also receive -- it is what a 360px screen requires, and a 1600px screen requires none of it.</w:t>
        <w:br/>
        <w:br/>
        <w:t>This is a testable claim rather than an intention, and it is tested the same way each time: the same measurement is taken at 360x800 and at 1600x1000, and the desktop numbers must be unchanged from before the change. Every part delivered so far has been checked that way.</w:t>
        <w:br/>
        <w:br/>
        <w:t>One number is unsettled. The React chrome switches at 720px and has always done so; EPIC-002-F-008-S-001 puts the static pages' hamburger at 600px. The two halves of the site therefore call different widths a phone. The work so far uses 720px so that the header and the footer change together, which is correct within the application and leaves the discrepancy with the static pages unresolved. It is the operator's to settle.</w:t>
      </w:r>
    </w:p>
    <w:p>
      <w:pPr>
        <w:pStyle w:val="Heading4"/>
      </w:pPr>
      <w:r>
        <w:rPr>
          <w:color w:val="0B7A75"/>
        </w:rPr>
        <w:t>C-27 corrected — the panels are wider than the screen</w:t>
      </w:r>
    </w:p>
    <w:p>
      <w:r>
        <w:t>The text above says the wrapper shows one surface at a time and the others are not shown. That is the wrong mechanism and the operator corrected it. The panels stay laid out side by side exactly as they are on a desktop; what changes is that their container is wider than the viewport, and the phone is a window onto it. A person moves the window rather than the application swapping what is mounted.</w:t>
        <w:br/>
        <w:br/>
        <w:t>Three consequences, and each is better than what it replaces.</w:t>
        <w:br/>
        <w:br/>
        <w:t>The swipe is not something we write. A horizontal track with CSS scroll-snap carries momentum, snapping and rubber-banding on both platforms natively. There is no gesture handler, so the question of whether the runtime driver may hold one does not arise -- there is nothing to author.</w:t>
        <w:br/>
        <w:br/>
        <w:t>The lines between the panels are the panels' own edges, visible because a neighbour is partly on screen. That sliver is the affordance: a person can see that something is there, which is the only reason a swipe is discoverable. A track exactly one viewport wide per panel would hide the neighbour completely and the gesture with it.</w:t>
        <w:br/>
        <w:br/>
        <w:t>Panel state survives. Nothing is unmounted or hidden, so the specialty panel keeps its ticks and the list keeps its position while a person moves between them. Showing one at a time would have had to preserve all of that by hand.</w:t>
        <w:br/>
        <w:br/>
        <w:t>The menu's panel links become a scroll to a panel rather than a show and hide.</w:t>
      </w:r>
    </w:p>
    <w:p>
      <w:r>
        <w:rPr>
          <w:color w:val="6B7280"/>
          <w:sz w:val="18"/>
        </w:rPr>
        <w:t>Corrected 2026-09-03 by the operator.</w:t>
      </w:r>
    </w:p>
    <w:p w14:paraId="0CDBF811" w14:textId="77777777" w:rsidR="00330C1B" w:rsidRDefault="00000000">
      <w:pPr>
        <w:pStyle w:val="Heading1"/>
      </w:pPr>
      <w:r>
        <w:t>4. Technical architecture</w:t>
      </w:r>
    </w:p>
    <w:p w14:paraId="6DC84AD6" w14:textId="77777777" w:rsidR="00330C1B" w:rsidRDefault="00000000">
      <w:pPr>
        <w:pStyle w:val="Heading2"/>
      </w:pPr>
      <w:r>
        <w:t>4.1 The targets that carry FindCare</w:t>
      </w:r>
    </w:p>
    <w:p w14:paraId="37EBE975" w14:textId="77777777" w:rsidR="00330C1B" w:rsidRDefault="00000000">
      <w:r>
        <w:t>FindCare is not one deployable. It is code on three targets, and a change to it may land on any of them.</w:t>
      </w:r>
    </w:p>
    <w:tbl>
      <w:tblPr>
        <w:tblStyle w:val="LightGrid-Accent1"/>
        <w:tblW w:w="0" w:type="auto"/>
        <w:tblLook w:val="04A0" w:firstRow="1" w:lastRow="0" w:firstColumn="1" w:lastColumn="0" w:noHBand="0" w:noVBand="1"/>
      </w:tblPr>
      <w:tblGrid>
        <w:gridCol w:w="3256"/>
        <w:gridCol w:w="1975"/>
        <w:gridCol w:w="3625"/>
      </w:tblGrid>
      <w:tr w:rsidR="00330C1B" w14:paraId="41B91D8E" w14:textId="77777777" w:rsidTr="00330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7067EEC4" w14:textId="77777777" w:rsidR="00330C1B" w:rsidRDefault="00000000">
            <w:r>
              <w:rPr>
                <w:sz w:val="18"/>
              </w:rPr>
              <w:t>Target</w:t>
            </w:r>
          </w:p>
        </w:tc>
        <w:tc>
          <w:tcPr>
            <w:tcW w:w="1872" w:type="dxa"/>
          </w:tcPr>
          <w:p w14:paraId="5E3FB70F"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Kind</w:t>
            </w:r>
          </w:p>
        </w:tc>
        <w:tc>
          <w:tcPr>
            <w:tcW w:w="4320" w:type="dxa"/>
          </w:tcPr>
          <w:p w14:paraId="4D5E9CFB"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What of FindCare it carries</w:t>
            </w:r>
          </w:p>
        </w:tc>
      </w:tr>
      <w:tr w:rsidR="00330C1B" w14:paraId="5573E6BC"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75AF984A" w14:textId="77777777" w:rsidR="00330C1B" w:rsidRDefault="00000000">
            <w:r>
              <w:rPr>
                <w:sz w:val="17"/>
              </w:rPr>
              <w:t>target_hf_space_findcare_backend</w:t>
            </w:r>
          </w:p>
        </w:tc>
        <w:tc>
          <w:tcPr>
            <w:tcW w:w="1872" w:type="dxa"/>
          </w:tcPr>
          <w:p w14:paraId="6C72489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hf_space</w:t>
            </w:r>
          </w:p>
        </w:tc>
        <w:tc>
          <w:tcPr>
            <w:tcW w:w="4320" w:type="dxa"/>
          </w:tcPr>
          <w:p w14:paraId="7756BBE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domain: provider search, provider detail, the specialty filter, the clinical-trials client.</w:t>
            </w:r>
          </w:p>
        </w:tc>
      </w:tr>
      <w:tr w:rsidR="00330C1B" w14:paraId="778C7B86"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5A679555" w14:textId="77777777" w:rsidR="00330C1B" w:rsidRDefault="00000000">
            <w:r>
              <w:rPr>
                <w:sz w:val="17"/>
              </w:rPr>
              <w:t>target_hf_space_shared_services</w:t>
            </w:r>
          </w:p>
        </w:tc>
        <w:tc>
          <w:tcPr>
            <w:tcW w:w="1872" w:type="dxa"/>
          </w:tcPr>
          <w:p w14:paraId="52D8D251"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hf_space</w:t>
            </w:r>
          </w:p>
        </w:tc>
        <w:tc>
          <w:tcPr>
            <w:tcW w:w="4320" w:type="dxa"/>
          </w:tcPr>
          <w:p w14:paraId="6309519A"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gateway, the router, the utterance manager, the parameters tool, the selection tools, and the FindCare domain tools that call the backend.</w:t>
            </w:r>
          </w:p>
        </w:tc>
      </w:tr>
      <w:tr w:rsidR="00330C1B" w14:paraId="06E759F1"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636BCA2D" w14:textId="77777777" w:rsidR="00330C1B" w:rsidRDefault="00000000">
            <w:r>
              <w:rPr>
                <w:sz w:val="17"/>
              </w:rPr>
              <w:t>target_cloudflare_pages_website</w:t>
            </w:r>
          </w:p>
        </w:tc>
        <w:tc>
          <w:tcPr>
            <w:tcW w:w="1872" w:type="dxa"/>
          </w:tcPr>
          <w:p w14:paraId="3937FBF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cloudflare_pages_project</w:t>
            </w:r>
          </w:p>
        </w:tc>
        <w:tc>
          <w:tcPr>
            <w:tcW w:w="4320" w:type="dxa"/>
          </w:tcPr>
          <w:p w14:paraId="33CAD202"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wrapper page, the client router, and the frames the React application paints into.</w:t>
            </w:r>
          </w:p>
        </w:tc>
      </w:tr>
      <w:tr w:rsidR="00330C1B" w14:paraId="02765A84"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74722367" w14:textId="77777777" w:rsidR="00330C1B" w:rsidRDefault="00000000">
            <w:r>
              <w:rPr>
                <w:sz w:val="17"/>
              </w:rPr>
              <w:t>target_atlas_frontend</w:t>
            </w:r>
          </w:p>
        </w:tc>
        <w:tc>
          <w:tcPr>
            <w:tcW w:w="1872" w:type="dxa"/>
          </w:tcPr>
          <w:p w14:paraId="59C510B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atlas</w:t>
            </w:r>
          </w:p>
        </w:tc>
        <w:tc>
          <w:tcPr>
            <w:tcW w:w="4320" w:type="dxa"/>
          </w:tcPr>
          <w:p w14:paraId="78201945"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ChatHealthyFrontEnd cluster: the provider and specialty collections, the session store, and the runtime configuration.</w:t>
            </w:r>
          </w:p>
        </w:tc>
      </w:tr>
    </w:tbl>
    <w:p w14:paraId="117B238B" w14:textId="77777777" w:rsidR="00330C1B" w:rsidRDefault="00000000">
      <w:r>
        <w:t>The React application is not a target. It is built from Code/ConversationalUX/FindCareChat/frontend and served by the FindCare Space, so a change to a widget is a change to the FindCare backend target.</w:t>
      </w:r>
    </w:p>
    <w:p w14:paraId="3C0F37B5" w14:textId="77777777" w:rsidR="00330C1B" w:rsidRDefault="00000000">
      <w:pPr>
        <w:pStyle w:val="Heading2"/>
      </w:pPr>
      <w:r>
        <w:t>4.2 Packages and files</w:t>
      </w:r>
    </w:p>
    <w:p w14:paraId="2ED8EBAE" w14:textId="77777777" w:rsidR="00330C1B" w:rsidRDefault="00000000">
      <w:r>
        <w:t>The FindCare backend declares one package, service_runtime, in all four environments, and 150 files against it. Its build context is eight subtrees:</w:t>
      </w:r>
    </w:p>
    <w:tbl>
      <w:tblPr>
        <w:tblStyle w:val="LightGrid-Accent1"/>
        <w:tblW w:w="0" w:type="auto"/>
        <w:tblLook w:val="04A0" w:firstRow="1" w:lastRow="0" w:firstColumn="1" w:lastColumn="0" w:noHBand="0" w:noVBand="1"/>
      </w:tblPr>
      <w:tblGrid>
        <w:gridCol w:w="4704"/>
        <w:gridCol w:w="4152"/>
      </w:tblGrid>
      <w:tr w:rsidR="00330C1B" w14:paraId="704F7A70" w14:textId="77777777" w:rsidTr="00330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52D62C48" w14:textId="77777777" w:rsidR="00330C1B" w:rsidRDefault="00000000">
            <w:r>
              <w:rPr>
                <w:sz w:val="18"/>
              </w:rPr>
              <w:t>Subtree</w:t>
            </w:r>
          </w:p>
        </w:tc>
        <w:tc>
          <w:tcPr>
            <w:tcW w:w="5616" w:type="dxa"/>
          </w:tcPr>
          <w:p w14:paraId="7D6D973A"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What it contributes</w:t>
            </w:r>
          </w:p>
        </w:tc>
      </w:tr>
      <w:tr w:rsidR="00330C1B" w14:paraId="705A6278"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341909F5" w14:textId="77777777" w:rsidR="00330C1B" w:rsidRDefault="00000000">
            <w:r>
              <w:rPr>
                <w:sz w:val="17"/>
              </w:rPr>
              <w:t>Code/ConversationalUX/FindCareChat/backend</w:t>
            </w:r>
          </w:p>
        </w:tc>
        <w:tc>
          <w:tcPr>
            <w:tcW w:w="5616" w:type="dxa"/>
          </w:tcPr>
          <w:p w14:paraId="3F9FCBC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HTTP surface and the record-sync domain.</w:t>
            </w:r>
          </w:p>
        </w:tc>
      </w:tr>
      <w:tr w:rsidR="00330C1B" w14:paraId="4FADF077"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56807E1E" w14:textId="77777777" w:rsidR="00330C1B" w:rsidRDefault="00000000">
            <w:r>
              <w:rPr>
                <w:sz w:val="17"/>
              </w:rPr>
              <w:t>FindCare</w:t>
            </w:r>
          </w:p>
        </w:tc>
        <w:tc>
          <w:tcPr>
            <w:tcW w:w="5616" w:type="dxa"/>
          </w:tcPr>
          <w:p w14:paraId="1A732DBA"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ProviderManagement, ProviderDetail, SpecialtyFilter, ClinicalTrials.</w:t>
            </w:r>
          </w:p>
        </w:tc>
      </w:tr>
      <w:tr w:rsidR="00330C1B" w14:paraId="2576B3CD"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5EEEF266" w14:textId="77777777" w:rsidR="00330C1B" w:rsidRDefault="00000000">
            <w:r>
              <w:rPr>
                <w:sz w:val="17"/>
              </w:rPr>
              <w:t>ChatHealthyLib</w:t>
            </w:r>
          </w:p>
        </w:tc>
        <w:tc>
          <w:tcPr>
            <w:tcW w:w="5616" w:type="dxa"/>
          </w:tcPr>
          <w:p w14:paraId="0FD625D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Exceptions, logging, Mongo access, authentication, the parameter model, the collection bindings.</w:t>
            </w:r>
          </w:p>
        </w:tc>
      </w:tr>
      <w:tr w:rsidR="00330C1B" w14:paraId="539D1E88"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55DC7B44" w14:textId="77777777" w:rsidR="00330C1B" w:rsidRDefault="00000000">
            <w:r>
              <w:rPr>
                <w:sz w:val="17"/>
              </w:rPr>
              <w:t>Code/Shared</w:t>
            </w:r>
          </w:p>
        </w:tc>
        <w:tc>
          <w:tcPr>
            <w:tcW w:w="5616" w:type="dxa"/>
          </w:tcPr>
          <w:p w14:paraId="0671B799"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prompt system.</w:t>
            </w:r>
          </w:p>
        </w:tc>
      </w:tr>
      <w:tr w:rsidR="00330C1B" w14:paraId="775DD695"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4DA918DA" w14:textId="77777777" w:rsidR="00330C1B" w:rsidRDefault="00000000">
            <w:r>
              <w:rPr>
                <w:sz w:val="17"/>
              </w:rPr>
              <w:t>brain/machine_artifacts/content/controlled_vocabularies.json, prompts.json</w:t>
            </w:r>
          </w:p>
        </w:tc>
        <w:tc>
          <w:tcPr>
            <w:tcW w:w="5616" w:type="dxa"/>
          </w:tcPr>
          <w:p w14:paraId="6B2B4E0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specialty prompts the filter loads by record id.</w:t>
            </w:r>
          </w:p>
        </w:tc>
      </w:tr>
      <w:tr w:rsidR="00330C1B" w14:paraId="50B80491"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65FE0332" w14:textId="77777777" w:rsidR="00330C1B" w:rsidRDefault="00000000">
            <w:r>
              <w:rPr>
                <w:sz w:val="17"/>
              </w:rPr>
              <w:t>Code/ConversationalUX/ChatHealthyWhoAmIChat/me</w:t>
            </w:r>
          </w:p>
        </w:tc>
        <w:tc>
          <w:tcPr>
            <w:tcW w:w="5616" w:type="dxa"/>
          </w:tcPr>
          <w:p w14:paraId="5CCD72C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Static assets.</w:t>
            </w:r>
          </w:p>
        </w:tc>
      </w:tr>
      <w:tr w:rsidR="00330C1B" w14:paraId="4FBF65F7"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3E942031" w14:textId="77777777" w:rsidR="00330C1B" w:rsidRDefault="00000000">
            <w:r>
              <w:rPr>
                <w:sz w:val="17"/>
              </w:rPr>
              <w:t>DevOps/FindCareBackend</w:t>
            </w:r>
          </w:p>
        </w:tc>
        <w:tc>
          <w:tcPr>
            <w:tcW w:w="5616" w:type="dxa"/>
          </w:tcPr>
          <w:p w14:paraId="53A3D8C2"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Dockerfile — the one file in the manifest whose disposition is managed rather than referenced — and the requirements file.</w:t>
            </w:r>
          </w:p>
        </w:tc>
      </w:tr>
    </w:tbl>
    <w:p w14:paraId="7CB78640" w14:textId="77777777" w:rsidR="00330C1B" w:rsidRDefault="00000000">
      <w:pPr>
        <w:ind w:left="432"/>
      </w:pPr>
      <w:r>
        <w:rPr>
          <w:b/>
          <w:color w:val="990000"/>
        </w:rPr>
        <w:t xml:space="preserve">Code contradicts this design: </w:t>
      </w:r>
      <w:r>
        <w:rPr>
          <w:color w:val="990000"/>
        </w:rPr>
        <w:t>The manifest declares files that no runtime path on this target reaches, and omits files that its runtime imports. Code/Shared/ops is copied wholesale and nothing in the FindCare backend imports it (recorded as BUG-011). In the other direction, sharedServices imports chathealthy_lib.authentication.user_parameters, agent_deps and chathealthy_tool, and the FindCare target's file list names none of the three although it declares the ChatHealthyLib subtree. The manifest is driven by a subtree walk, not by the file list, so the two disagree without failing.</w:t>
      </w:r>
    </w:p>
    <w:p w14:paraId="27A63711" w14:textId="77777777" w:rsidR="00330C1B" w:rsidRDefault="00000000">
      <w:pPr>
        <w:ind w:left="432"/>
      </w:pPr>
      <w:r>
        <w:rPr>
          <w:b/>
          <w:color w:val="005500"/>
        </w:rPr>
        <w:t>Designed change C-16</w:t>
      </w:r>
      <w:r>
        <w:rPr>
          <w:color w:val="005500"/>
          <w:sz w:val="18"/>
        </w:rPr>
        <w:t xml:space="preserve">  (owner: EPIC-008-F-012 owns the build chain; recorded as BUG-011)  </w:t>
      </w:r>
      <w:r>
        <w:rPr>
          <w:color w:val="005500"/>
        </w:rPr>
        <w:t>_findcare_source_set and the recursive _copy_tree in architecture/DevOpsBuildDeployAndEnvironmentManagement/hf_helpers.py stop deciding what ships. The build stages exactly the source_location entries the target record declares for the package being built, so the manifest becomes the instruction rather than an audit trail taken after the fact, and the two can no longer disagree without failing. Code/Shared/ops then does not ship, because no entry names it. In the other direction the FindCare target record gains the five ChatHealthyLib modules its runtime imports and does not declare — authentication/user_parameters.py, agent_deps.py, chathealthy_tool.py, intent_document.py and user_object.py — and a build that cannot find a declared file stops instead of producing a package without it.</w:t>
      </w:r>
    </w:p>
    <w:p w14:paraId="2E9B5DB8" w14:textId="77777777" w:rsidR="00330C1B" w:rsidRDefault="00000000">
      <w:pPr>
        <w:pStyle w:val="Heading2"/>
      </w:pPr>
      <w:r>
        <w:t>4.3 Environment bindings</w:t>
      </w:r>
    </w:p>
    <w:tbl>
      <w:tblPr>
        <w:tblStyle w:val="LightGrid-Accent1"/>
        <w:tblW w:w="0" w:type="auto"/>
        <w:tblLook w:val="04A0" w:firstRow="1" w:lastRow="0" w:firstColumn="1" w:lastColumn="0" w:noHBand="0" w:noVBand="1"/>
      </w:tblPr>
      <w:tblGrid>
        <w:gridCol w:w="692"/>
        <w:gridCol w:w="859"/>
        <w:gridCol w:w="2397"/>
        <w:gridCol w:w="2332"/>
        <w:gridCol w:w="2576"/>
      </w:tblGrid>
      <w:tr w:rsidR="00330C1B" w14:paraId="6755BAD7" w14:textId="77777777" w:rsidTr="00330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19672DD1" w14:textId="77777777" w:rsidR="00330C1B" w:rsidRDefault="00000000">
            <w:r>
              <w:rPr>
                <w:sz w:val="18"/>
              </w:rPr>
              <w:t>Env</w:t>
            </w:r>
          </w:p>
        </w:tc>
        <w:tc>
          <w:tcPr>
            <w:tcW w:w="1008" w:type="dxa"/>
          </w:tcPr>
          <w:p w14:paraId="265579D4"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Branch</w:t>
            </w:r>
          </w:p>
        </w:tc>
        <w:tc>
          <w:tcPr>
            <w:tcW w:w="2736" w:type="dxa"/>
          </w:tcPr>
          <w:p w14:paraId="382F77C2"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FindCare address</w:t>
            </w:r>
          </w:p>
        </w:tc>
        <w:tc>
          <w:tcPr>
            <w:tcW w:w="2448" w:type="dxa"/>
          </w:tcPr>
          <w:p w14:paraId="10121ABB"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FindCare Space</w:t>
            </w:r>
          </w:p>
        </w:tc>
        <w:tc>
          <w:tcPr>
            <w:tcW w:w="2304" w:type="dxa"/>
          </w:tcPr>
          <w:p w14:paraId="219835D4"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SharedServices address</w:t>
            </w:r>
          </w:p>
        </w:tc>
      </w:tr>
      <w:tr w:rsidR="00330C1B" w14:paraId="57D40854"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5EEDA61E" w14:textId="77777777" w:rsidR="00330C1B" w:rsidRDefault="00000000">
            <w:r>
              <w:rPr>
                <w:sz w:val="17"/>
              </w:rPr>
              <w:t>local</w:t>
            </w:r>
          </w:p>
        </w:tc>
        <w:tc>
          <w:tcPr>
            <w:tcW w:w="1008" w:type="dxa"/>
          </w:tcPr>
          <w:p w14:paraId="5E0AA8D5"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2736" w:type="dxa"/>
          </w:tcPr>
          <w:p w14:paraId="59FBEEB6"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localhost:7860</w:t>
            </w:r>
          </w:p>
        </w:tc>
        <w:tc>
          <w:tcPr>
            <w:tcW w:w="2448" w:type="dxa"/>
          </w:tcPr>
          <w:p w14:paraId="31019535"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container ch-findcare</w:t>
            </w:r>
          </w:p>
        </w:tc>
        <w:tc>
          <w:tcPr>
            <w:tcW w:w="2304" w:type="dxa"/>
          </w:tcPr>
          <w:p w14:paraId="24C5EAF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localhost:8002</w:t>
            </w:r>
          </w:p>
        </w:tc>
      </w:tr>
      <w:tr w:rsidR="00330C1B" w14:paraId="736921BA"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7C506F5B" w14:textId="77777777" w:rsidR="00330C1B" w:rsidRDefault="00000000">
            <w:r>
              <w:rPr>
                <w:sz w:val="17"/>
              </w:rPr>
              <w:t>dev</w:t>
            </w:r>
          </w:p>
        </w:tc>
        <w:tc>
          <w:tcPr>
            <w:tcW w:w="1008" w:type="dxa"/>
          </w:tcPr>
          <w:p w14:paraId="34CCE50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dev</w:t>
            </w:r>
          </w:p>
        </w:tc>
        <w:tc>
          <w:tcPr>
            <w:tcW w:w="2736" w:type="dxa"/>
          </w:tcPr>
          <w:p w14:paraId="337B17D5"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dev.chathealthy.ai/findcare</w:t>
            </w:r>
          </w:p>
        </w:tc>
        <w:tc>
          <w:tcPr>
            <w:tcW w:w="2448" w:type="dxa"/>
          </w:tcPr>
          <w:p w14:paraId="144E1B8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dev_ChatHealthySpace_1606</w:t>
            </w:r>
          </w:p>
        </w:tc>
        <w:tc>
          <w:tcPr>
            <w:tcW w:w="2304" w:type="dxa"/>
          </w:tcPr>
          <w:p w14:paraId="1381BE2B"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dev.chathealthy.ai/sharedservices</w:t>
            </w:r>
          </w:p>
        </w:tc>
      </w:tr>
      <w:tr w:rsidR="00330C1B" w14:paraId="219891C0"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233FDFEC" w14:textId="77777777" w:rsidR="00330C1B" w:rsidRDefault="00000000">
            <w:r>
              <w:rPr>
                <w:sz w:val="17"/>
              </w:rPr>
              <w:t>qa</w:t>
            </w:r>
          </w:p>
        </w:tc>
        <w:tc>
          <w:tcPr>
            <w:tcW w:w="1008" w:type="dxa"/>
          </w:tcPr>
          <w:p w14:paraId="647E243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qa</w:t>
            </w:r>
          </w:p>
        </w:tc>
        <w:tc>
          <w:tcPr>
            <w:tcW w:w="2736" w:type="dxa"/>
          </w:tcPr>
          <w:p w14:paraId="5641519D"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qa.chathealthy.ai/findcare</w:t>
            </w:r>
          </w:p>
        </w:tc>
        <w:tc>
          <w:tcPr>
            <w:tcW w:w="2448" w:type="dxa"/>
          </w:tcPr>
          <w:p w14:paraId="22E4CDE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qa_ChatHealthySpace</w:t>
            </w:r>
          </w:p>
        </w:tc>
        <w:tc>
          <w:tcPr>
            <w:tcW w:w="2304" w:type="dxa"/>
          </w:tcPr>
          <w:p w14:paraId="3EBADC0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qa.chathealthy.ai/sharedservices</w:t>
            </w:r>
          </w:p>
        </w:tc>
      </w:tr>
      <w:tr w:rsidR="00330C1B" w14:paraId="23D19A1E"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751C40F9" w14:textId="77777777" w:rsidR="00330C1B" w:rsidRDefault="00000000">
            <w:r>
              <w:rPr>
                <w:sz w:val="17"/>
              </w:rPr>
              <w:t>prod</w:t>
            </w:r>
          </w:p>
        </w:tc>
        <w:tc>
          <w:tcPr>
            <w:tcW w:w="1008" w:type="dxa"/>
          </w:tcPr>
          <w:p w14:paraId="57F58292"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main</w:t>
            </w:r>
          </w:p>
        </w:tc>
        <w:tc>
          <w:tcPr>
            <w:tcW w:w="2736" w:type="dxa"/>
          </w:tcPr>
          <w:p w14:paraId="009F0D75"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chathealthy.ai/findcare</w:t>
            </w:r>
          </w:p>
        </w:tc>
        <w:tc>
          <w:tcPr>
            <w:tcW w:w="2448" w:type="dxa"/>
          </w:tcPr>
          <w:p w14:paraId="70D402F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ChatHealthySpace</w:t>
            </w:r>
          </w:p>
        </w:tc>
        <w:tc>
          <w:tcPr>
            <w:tcW w:w="2304" w:type="dxa"/>
          </w:tcPr>
          <w:p w14:paraId="10839AA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chathealthy.ai/sharedservices</w:t>
            </w:r>
          </w:p>
        </w:tc>
      </w:tr>
    </w:tbl>
    <w:p w14:paraId="3B123E60" w14:textId="77777777" w:rsidR="00330C1B" w:rsidRDefault="00000000">
      <w:r>
        <w:t>The environment is not compiled in. ENV_PREFIX is set per deploy and is what the runtime reads to resolve its data (§4.4). Peer addresses are resolved at build time from the peer target's own record — SharedServices receives FINDCARE_URL and FINDCARE_INTERNAL_URL as peer_url references, not as literals — so no environment's address is written in code, and a cross-environment call cannot be produced by a stale constant.</w:t>
      </w:r>
    </w:p>
    <w:p w14:paraId="45EFBBAC" w14:textId="77777777" w:rsidR="00330C1B" w:rsidRDefault="00000000">
      <w:pPr>
        <w:pStyle w:val="Heading2"/>
      </w:pPr>
      <w:r>
        <w:t>4.4 What a running FindCare reads</w:t>
      </w:r>
    </w:p>
    <w:p w14:paraId="18FF8450" w14:textId="77777777" w:rsidR="00330C1B" w:rsidRDefault="00000000">
      <w:r>
        <w:t>The data a FindCare instance serves is bound at startup, not named in code. ChatHealthyLib/src/chathealthy_lib/runtime_data_collections.py reads target_id from build_info.json baked into the image and env from ENV_PREFIX, looks up ChatHealthyConfig.DBVersions for that env, finds the entry for that deployment target, and binds two slots: PROVIDER_COLLECTION and SPECIALTY_META_COLLECTION. Accessors providers_coll() and specialty_meta_coll() return them, and they raise if unbound — there is no fallback to a guessed name.</w:t>
      </w:r>
    </w:p>
    <w:p w14:paraId="1D83A7D6" w14:textId="77777777" w:rsidR="00330C1B" w:rsidRDefault="00000000">
      <w:r>
        <w:t>The physical name is composed, never written down: a base of the form Database.Collection and an integer version compose to Database.Collection_v_N. Data is versioned rather than segregated by environment, so two environments differ in which generation they are bound to and not in which database they read. The bindings can be moved in place through the bearer-gated /admin/swap on the running service, and /debug/active_collections reports whether memory and the configuration document still agree.</w:t>
      </w:r>
    </w:p>
    <w:p w14:paraId="5ECA8E1D" w14:textId="77777777" w:rsidR="00330C1B" w:rsidRDefault="00000000">
      <w:r>
        <w:t>The connection is obtained through ChatHealthyMongoUtilities().getConnection("frontendUser", "ChatHealthyFrontEnd"). Both arguments matter: the identity is what authenticates, and the cluster is which of the two clusters is meant. FindCare never reaches the pipeline cluster.</w:t>
      </w:r>
    </w:p>
    <w:p w14:paraId="1BBAD26B" w14:textId="77777777" w:rsidR="00330C1B" w:rsidRDefault="00000000">
      <w:pPr>
        <w:pStyle w:val="Heading2"/>
      </w:pPr>
      <w:r>
        <w:t>4.5 Build</w:t>
      </w:r>
    </w:p>
    <w:p w14:paraId="69270B37" w14:textId="77777777" w:rsidR="00330C1B" w:rsidRDefault="00000000">
      <w:r>
        <w:t>build_chathealthy.py --env {local|dev|qa|prod} [--target ...]. The operator names the targets and the packages; there is no build-everything shortcut, and the build root is written afresh each run.</w:t>
      </w:r>
    </w:p>
    <w:p w14:paraId="19E62D9A" w14:textId="77777777" w:rsidR="00330C1B" w:rsidRDefault="00000000">
      <w:pPr>
        <w:pStyle w:val="ListBullet"/>
      </w:pPr>
      <w:r>
        <w:t>For --env local the source is the working tree as it stands, with no branch check and no counter bump.</w:t>
      </w:r>
    </w:p>
    <w:p w14:paraId="2E7020A6" w14:textId="77777777" w:rsidR="00330C1B" w:rsidRDefault="00000000">
      <w:pPr>
        <w:pStyle w:val="ListBullet"/>
      </w:pPr>
      <w:r>
        <w:t>For dev, qa and prod the source is the environment's branch — dev from dev, qa from qa, prod from main — and the guard is enforced before anything is staged.</w:t>
      </w:r>
    </w:p>
    <w:p w14:paraId="1EA14085" w14:textId="77777777" w:rsidR="00330C1B" w:rsidRDefault="00000000">
      <w:pPr>
        <w:pStyle w:val="ListBullet"/>
      </w:pPr>
      <w:r>
        <w:t>The build writes localBuild/&lt;target_id&gt;/ per target per package, and stamps manifest.json with the env, the short HEAD sha, the build counter and the build time. It writes build_info.json carrying the target_id the runtime later reads.</w:t>
      </w:r>
    </w:p>
    <w:p w14:paraId="2B34FB58" w14:textId="77777777" w:rsidR="00330C1B" w:rsidRDefault="00000000">
      <w:pPr>
        <w:pStyle w:val="ListBullet"/>
      </w:pPr>
      <w:r>
        <w:t>For the FindCare target the React application is compiled into the context: the canonical vite config is copied in from architecture/DevOpsBuildDeployAndEnvironmentManagement/vite.config.ts, the peer URLs are injected as build-time variables, npm builds it, and the fonts are inlined.</w:t>
      </w:r>
    </w:p>
    <w:p w14:paraId="2A9B2E52" w14:textId="77777777" w:rsidR="00330C1B" w:rsidRDefault="00000000">
      <w:pPr>
        <w:pStyle w:val="ListBullet"/>
      </w:pPr>
      <w:r>
        <w:t>Secrets are resolved by name against Key Vault at build time and materialised into the context; a name that does not resolve stops the build rather than producing a package with a missing value.</w:t>
      </w:r>
    </w:p>
    <w:p w14:paraId="1E4CC0FB" w14:textId="77777777" w:rsidR="00330C1B" w:rsidRDefault="00000000">
      <w:pPr>
        <w:pStyle w:val="Heading2"/>
      </w:pPr>
      <w:r>
        <w:t>4.6 Promote</w:t>
      </w:r>
    </w:p>
    <w:p w14:paraId="019411B6" w14:textId="77777777" w:rsidR="00330C1B" w:rsidRDefault="00000000">
      <w:r>
        <w:t>promote_chathealthy.py --from X --to Y, adjacent pairs only. It does not rebuild.</w:t>
      </w:r>
    </w:p>
    <w:p w14:paraId="28783342" w14:textId="77777777" w:rsidR="00330C1B" w:rsidRDefault="00000000">
      <w:pPr>
        <w:pStyle w:val="ListBullet"/>
      </w:pPr>
      <w:r>
        <w:t>local to dev is an atomic full-tree commit and push to the dev branch. It has no special git privileges: the commit passes every pre-commit gate and the commit-msg authorization of Rule-065 like any hand-authored commit.</w:t>
      </w:r>
    </w:p>
    <w:p w14:paraId="2653310A" w14:textId="77777777" w:rsidR="00330C1B" w:rsidRDefault="00000000">
      <w:pPr>
        <w:pStyle w:val="ListBullet"/>
      </w:pPr>
      <w:r>
        <w:t>dev to qa and qa to prod move a remote branch pointer so the destination is byte-identical to the source. No checkout, no branch switch, and the working tree is neither read nor modified.</w:t>
      </w:r>
    </w:p>
    <w:p w14:paraId="608D053D" w14:textId="77777777" w:rsidR="00330C1B" w:rsidRDefault="00000000">
      <w:r>
        <w:t>Code is authored on the workstation and nowhere else, so a change reaches prod only by having been dev first.</w:t>
      </w:r>
    </w:p>
    <w:p w14:paraId="1D0EEAFD" w14:textId="77777777" w:rsidR="00330C1B" w:rsidRDefault="00000000">
      <w:pPr>
        <w:pStyle w:val="Heading2"/>
      </w:pPr>
      <w:r>
        <w:t>4.7 Deploy</w:t>
      </w:r>
    </w:p>
    <w:p w14:paraId="6059A468" w14:textId="77777777" w:rsidR="00330C1B" w:rsidRDefault="00000000">
      <w:r>
        <w:t>deploy_chathealthy.py --env {local|dev|qa|prod} [--target ...] [--tests ...]. A deploy reads only the build output and never the source.</w:t>
      </w:r>
    </w:p>
    <w:p w14:paraId="6A0501F8" w14:textId="77777777" w:rsidR="00330C1B" w:rsidRDefault="00000000">
      <w:r>
        <w:t>Three staleness checks run before any handler is dispatched, and a failure names the stale fact:</w:t>
      </w:r>
    </w:p>
    <w:p w14:paraId="5D297F47" w14:textId="77777777" w:rsidR="00330C1B" w:rsidRDefault="00000000">
      <w:pPr>
        <w:pStyle w:val="ListBullet"/>
      </w:pPr>
      <w:r>
        <w:t>The manifest's git_head_sha equals the current short HEAD sha (non-local only — a local build sources the working tree, so sha drift does not invalidate it).</w:t>
      </w:r>
    </w:p>
    <w:p w14:paraId="1C04AE1F" w14:textId="77777777" w:rsidR="00330C1B" w:rsidRDefault="00000000">
      <w:pPr>
        <w:pStyle w:val="ListBullet"/>
      </w:pPr>
      <w:r>
        <w:t>The manifest's env equals --env. This is what makes a cross-environment deploy impossible rather than merely discouraged.</w:t>
      </w:r>
    </w:p>
    <w:p w14:paraId="7A98A13E" w14:textId="77777777" w:rsidR="00330C1B" w:rsidRDefault="00000000">
      <w:pPr>
        <w:pStyle w:val="ListBullet"/>
      </w:pPr>
      <w:r>
        <w:t>The manifest's build counter equals the latest counter in frontEndAdmin.BuildVersions (non-local only).</w:t>
      </w:r>
    </w:p>
    <w:p w14:paraId="4C6EBA63" w14:textId="77777777" w:rsidR="00330C1B" w:rsidRDefault="00000000">
      <w:r>
        <w:t xml:space="preserve">For the FindCare and SharedServices Spaces the handler pushes the built context to the Space repository and sets that environment's variables and secrets on the Space. For the website it </w:t>
      </w:r>
      <w:r>
        <w:t>publishes the Pages project. The running target then reports which build it carries and the deploy verifies that report rather than asserting the deploy succeeded.</w:t>
      </w:r>
    </w:p>
    <w:p w14:paraId="4EF15356" w14:textId="77777777" w:rsidR="00330C1B" w:rsidRDefault="00000000">
      <w:pPr>
        <w:pStyle w:val="Heading2"/>
      </w:pPr>
      <w:r>
        <w:t>4.8 How a FindCare change reaches a running environment</w:t>
      </w:r>
    </w:p>
    <w:tbl>
      <w:tblPr>
        <w:tblStyle w:val="LightGrid-Accent1"/>
        <w:tblW w:w="0" w:type="auto"/>
        <w:tblLook w:val="04A0" w:firstRow="1" w:lastRow="0" w:firstColumn="1" w:lastColumn="0" w:noHBand="0" w:noVBand="1"/>
      </w:tblPr>
      <w:tblGrid>
        <w:gridCol w:w="3994"/>
        <w:gridCol w:w="4862"/>
      </w:tblGrid>
      <w:tr w:rsidR="00330C1B" w14:paraId="44D7C412" w14:textId="77777777" w:rsidTr="00330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6" w:type="dxa"/>
          </w:tcPr>
          <w:p w14:paraId="1B16EF40" w14:textId="77777777" w:rsidR="00330C1B" w:rsidRDefault="00000000">
            <w:r>
              <w:rPr>
                <w:sz w:val="18"/>
              </w:rPr>
              <w:t>Change</w:t>
            </w:r>
          </w:p>
        </w:tc>
        <w:tc>
          <w:tcPr>
            <w:tcW w:w="5184" w:type="dxa"/>
          </w:tcPr>
          <w:p w14:paraId="59E51808"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Reaches dev by</w:t>
            </w:r>
          </w:p>
        </w:tc>
      </w:tr>
      <w:tr w:rsidR="00330C1B" w14:paraId="3FD77982"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6" w:type="dxa"/>
          </w:tcPr>
          <w:p w14:paraId="2489C639" w14:textId="77777777" w:rsidR="00330C1B" w:rsidRDefault="00000000">
            <w:r>
              <w:rPr>
                <w:sz w:val="17"/>
              </w:rPr>
              <w:t>A provider-search rule (FindCare/ProviderManagement)</w:t>
            </w:r>
          </w:p>
        </w:tc>
        <w:tc>
          <w:tcPr>
            <w:tcW w:w="5184" w:type="dxa"/>
          </w:tcPr>
          <w:p w14:paraId="548650D2"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promote local→dev, build --env dev --target findcare_backend, deploy --env dev.</w:t>
            </w:r>
          </w:p>
        </w:tc>
      </w:tr>
      <w:tr w:rsidR="00330C1B" w14:paraId="4C40AD82"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6" w:type="dxa"/>
          </w:tcPr>
          <w:p w14:paraId="485D354F" w14:textId="77777777" w:rsidR="00330C1B" w:rsidRDefault="00000000">
            <w:r>
              <w:rPr>
                <w:sz w:val="17"/>
              </w:rPr>
              <w:t>A gateway op or the parameters tool (sharedServices/Code)</w:t>
            </w:r>
          </w:p>
        </w:tc>
        <w:tc>
          <w:tcPr>
            <w:tcW w:w="5184" w:type="dxa"/>
          </w:tcPr>
          <w:p w14:paraId="3AD303A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same, targeting shared_services.</w:t>
            </w:r>
          </w:p>
        </w:tc>
      </w:tr>
      <w:tr w:rsidR="00330C1B" w14:paraId="30059DA9"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6" w:type="dxa"/>
          </w:tcPr>
          <w:p w14:paraId="684D2DC4" w14:textId="77777777" w:rsidR="00330C1B" w:rsidRDefault="00000000">
            <w:r>
              <w:rPr>
                <w:sz w:val="17"/>
              </w:rPr>
              <w:t>A widget (frontend/src)</w:t>
            </w:r>
          </w:p>
        </w:tc>
        <w:tc>
          <w:tcPr>
            <w:tcW w:w="5184" w:type="dxa"/>
          </w:tcPr>
          <w:p w14:paraId="73E1945D"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same, targeting findcare_backend — the React bundle is built into that target's context.</w:t>
            </w:r>
          </w:p>
        </w:tc>
      </w:tr>
      <w:tr w:rsidR="00330C1B" w14:paraId="07DF7503"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6" w:type="dxa"/>
          </w:tcPr>
          <w:p w14:paraId="627E2932" w14:textId="77777777" w:rsidR="00330C1B" w:rsidRDefault="00000000">
            <w:r>
              <w:rPr>
                <w:sz w:val="17"/>
              </w:rPr>
              <w:t>The wrapper or the client router (Website/)</w:t>
            </w:r>
          </w:p>
        </w:tc>
        <w:tc>
          <w:tcPr>
            <w:tcW w:w="5184" w:type="dxa"/>
          </w:tcPr>
          <w:p w14:paraId="1CFF43F9"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same, targeting the website.</w:t>
            </w:r>
          </w:p>
        </w:tc>
      </w:tr>
      <w:tr w:rsidR="00330C1B" w14:paraId="1F4EC0D5"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6" w:type="dxa"/>
          </w:tcPr>
          <w:p w14:paraId="2298A77E" w14:textId="77777777" w:rsidR="00330C1B" w:rsidRDefault="00000000">
            <w:r>
              <w:rPr>
                <w:sz w:val="17"/>
              </w:rPr>
              <w:t>Which collection generation an environment serves</w:t>
            </w:r>
          </w:p>
        </w:tc>
        <w:tc>
          <w:tcPr>
            <w:tcW w:w="5184" w:type="dxa"/>
          </w:tcPr>
          <w:p w14:paraId="555E577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no build. A change to ChatHealthyConfig.DBVersions and a rebind on the running service.</w:t>
            </w:r>
          </w:p>
        </w:tc>
      </w:tr>
      <w:tr w:rsidR="00330C1B" w14:paraId="6CE54F56"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6" w:type="dxa"/>
          </w:tcPr>
          <w:p w14:paraId="2B48793B" w14:textId="77777777" w:rsidR="00330C1B" w:rsidRDefault="00000000">
            <w:r>
              <w:rPr>
                <w:sz w:val="17"/>
              </w:rPr>
              <w:t>Which parameters carry over (§3.8.3)</w:t>
            </w:r>
          </w:p>
        </w:tc>
        <w:tc>
          <w:tcPr>
            <w:tcW w:w="5184" w:type="dxa"/>
          </w:tcPr>
          <w:p w14:paraId="165F9BB6"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no build, by the same mechanism — which is what EPIC-006-F-008-S-002-REQ-B-002 requires.</w:t>
            </w:r>
          </w:p>
        </w:tc>
      </w:tr>
    </w:tbl>
    <w:p w14:paraId="34217541" w14:textId="77777777" w:rsidR="00330C1B" w:rsidRDefault="00000000">
      <w:pPr>
        <w:pStyle w:val="Heading2"/>
      </w:pPr>
      <w:r>
        <w:t>4.9 What a target must carry</w:t>
      </w:r>
    </w:p>
    <w:p w14:paraId="029BFE62" w14:textId="77777777" w:rsidR="00330C1B" w:rsidRDefault="00000000">
      <w:r>
        <w:t>C-21b binds one value, CH_EMBEDDING_MODEL, to the targets whose code embeds. Nothing yet makes a target carry a binding its code needs, and an embedding-shaped check would be the wrong answer to that: the same gap exists for every value every target reads. The rule is general and this is its statement — a target's declared files determine what that target's code requires, and the build refuses a target that does not carry every binding its declared code needs. CH_EMBEDDING_MODEL is one instance the rule catches, not the subject of it.</w:t>
      </w:r>
    </w:p>
    <w:p w14:paraId="357A98D2" w14:textId="77777777" w:rsidR="00330C1B" w:rsidRDefault="00000000">
      <w:pPr>
        <w:pStyle w:val="Heading3"/>
      </w:pPr>
      <w:r>
        <w:t>4.9.1 The derivation</w:t>
      </w:r>
    </w:p>
    <w:p w14:paraId="3B457201" w14:textId="77777777" w:rsidR="00330C1B" w:rsidRDefault="00000000">
      <w:r>
        <w:t>One derivation, run over every target, indifferent to what the target is for. For each target, parse each of its declared Python files and collect every environment name the file reads — os.environ["X"], os.environ.get("X"), os.getenv("X"). Compare that set against what the target declares: the union of its secrets and variables blocks, its packages' secrets, and the names a rename_from: qualifier produces. Each read name lands in one of three places.</w:t>
      </w:r>
    </w:p>
    <w:p w14:paraId="7233664E" w14:textId="77777777" w:rsidR="00330C1B" w:rsidRDefault="00000000">
      <w:pPr>
        <w:pStyle w:val="ListBullet"/>
      </w:pPr>
      <w:r>
        <w:t>Declared by the record — satisfied.</w:t>
      </w:r>
    </w:p>
    <w:p w14:paraId="38E8A54A" w14:textId="77777777" w:rsidR="00330C1B" w:rsidRDefault="00000000">
      <w:pPr>
        <w:pStyle w:val="ListBullet"/>
      </w:pPr>
      <w:r>
        <w:t>Named in the record's host-supplied set — satisfied by the platform. PORT and SPACE_ID on a Space, MSI_ENDPOINT, MSI_SECRET, IDENTITY_ENDPOINT and IDENTITY_HEADER wherever a managed identity is probed, SSL_CERTFILE, SSL_KEYFILE and CERTS_DIR where the deploy itself places what they point at. The set is declared once in the record rather than hardcoded in the checker, because a list of exemptions that lives in code is a list nobody reviews, and it is the same set for every target of a kind rather than a per-target allowance.</w:t>
      </w:r>
    </w:p>
    <w:p w14:paraId="5019D189" w14:textId="77777777" w:rsidR="00330C1B" w:rsidRDefault="00000000">
      <w:pPr>
        <w:pStyle w:val="ListBullet"/>
      </w:pPr>
      <w:r>
        <w:t>Neither — the refusal.</w:t>
      </w:r>
    </w:p>
    <w:p w14:paraId="098863D1" w14:textId="77777777" w:rsidR="00330C1B" w:rsidRDefault="00000000">
      <w:pPr>
        <w:pStyle w:val="Heading3"/>
      </w:pPr>
      <w:r>
        <w:t>4.9.2 Where it runs and what it says</w:t>
      </w:r>
    </w:p>
    <w:p w14:paraId="506A03BE" w14:textId="77777777" w:rsidR="00330C1B" w:rsidRDefault="00000000">
      <w:pPr>
        <w:ind w:left="432"/>
      </w:pPr>
      <w:r>
        <w:rPr>
          <w:b/>
          <w:color w:val="005500"/>
        </w:rPr>
        <w:t>Designed change C-23</w:t>
      </w:r>
      <w:r>
        <w:rPr>
          <w:color w:val="005500"/>
          <w:sz w:val="18"/>
        </w:rPr>
        <w:t xml:space="preserve">  (owner: EPIC-008-F-012)  </w:t>
      </w:r>
      <w:r>
        <w:rPr>
          <w:color w:val="005500"/>
        </w:rPr>
        <w:t xml:space="preserve">The derivation becomes confirm_bindings_complete in architecture/DevOpsBuildDeployAndEnvironmentManagement/secret_preflight.py, beside the </w:t>
      </w:r>
      <w:r>
        <w:rPr>
          <w:color w:val="005500"/>
        </w:rPr>
        <w:t>confirm_secrets_exist that already lives there, and is called from build_chathealthy.py at line 631 immediately BEFORE it. The order is the design: completeness asks which values the code needs and existence asks whether those values can be read, and there is no point asking the second before the first. It runs once over every target in the build's scope, not per target kind and not per capability, and it takes the same target_ids and packages arguments confirm_secrets_exist already takes so both see one scope. The refusal has one shape whatever is missing — ChatHealthyException(mode="manifest_incomplete"), the mode the adjacent check already raises — and names three things: the target, the binding, and the declared file whose read requires it. Naming the file is what makes the failure actionable rather than a puzzle: the operator is told not that something is missing but which line of which shipped file will read it.</w:t>
      </w:r>
    </w:p>
    <w:p w14:paraId="0E1E806B" w14:textId="77777777" w:rsidR="00330C1B" w:rsidRDefault="00000000">
      <w:pPr>
        <w:ind w:left="432"/>
      </w:pPr>
      <w:r>
        <w:rPr>
          <w:b/>
          <w:color w:val="005500"/>
        </w:rPr>
        <w:t>Designed change C-23a</w:t>
      </w:r>
      <w:r>
        <w:rPr>
          <w:color w:val="005500"/>
          <w:sz w:val="18"/>
        </w:rPr>
        <w:t xml:space="preserve">  (owner: EPIC-008-F-012)  </w:t>
      </w:r>
      <w:r>
        <w:rPr>
          <w:color w:val="005500"/>
        </w:rPr>
        <w:t>The dependency on C-16, stated rather than assumed. This derivation is exactly as true as the declared file list, and today the list is an audit trail written after a subtree walk rather than the instruction the build follows. Until C-16 makes the list authoritative, the derivation reads a set of files that is not the set that ships, and it would demand bindings for files a target does not run while missing files a target does. The two changes hold each other up: C-16 makes the file list true, and C-23 is what makes an untrue file list fail a build instead of passing one. C-23 lands after C-16 or not at all.</w:t>
      </w:r>
    </w:p>
    <w:p w14:paraId="43314E08" w14:textId="77777777" w:rsidR="00330C1B" w:rsidRDefault="00000000">
      <w:pPr>
        <w:pStyle w:val="Heading3"/>
      </w:pPr>
      <w:r>
        <w:t>4.9.3 What the rule catches, as the record stands</w:t>
      </w:r>
    </w:p>
    <w:p w14:paraId="558B557B" w14:textId="77777777" w:rsidR="00330C1B" w:rsidRDefault="00000000">
      <w:r>
        <w:t>The derivation was run over the four server targets against the record and the code as they are today. It finds something on three and nothing on the fourth, and it is one mechanism either way.</w:t>
      </w:r>
    </w:p>
    <w:tbl>
      <w:tblPr>
        <w:tblStyle w:val="LightGrid-Accent1"/>
        <w:tblW w:w="0" w:type="auto"/>
        <w:tblLook w:val="04A0" w:firstRow="1" w:lastRow="0" w:firstColumn="1" w:lastColumn="0" w:noHBand="0" w:noVBand="1"/>
      </w:tblPr>
      <w:tblGrid>
        <w:gridCol w:w="3744"/>
        <w:gridCol w:w="1728"/>
        <w:gridCol w:w="1440"/>
        <w:gridCol w:w="1296"/>
      </w:tblGrid>
      <w:tr w:rsidR="00330C1B" w14:paraId="7A086189" w14:textId="77777777" w:rsidTr="00330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5D5B41F3" w14:textId="77777777" w:rsidR="00330C1B" w:rsidRDefault="00000000">
            <w:r>
              <w:rPr>
                <w:sz w:val="18"/>
              </w:rPr>
              <w:t>Target</w:t>
            </w:r>
          </w:p>
        </w:tc>
        <w:tc>
          <w:tcPr>
            <w:tcW w:w="1728" w:type="dxa"/>
          </w:tcPr>
          <w:p w14:paraId="10FDE132"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Declared .py files</w:t>
            </w:r>
          </w:p>
        </w:tc>
        <w:tc>
          <w:tcPr>
            <w:tcW w:w="1440" w:type="dxa"/>
          </w:tcPr>
          <w:p w14:paraId="76B4ED70"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Env names read</w:t>
            </w:r>
          </w:p>
        </w:tc>
        <w:tc>
          <w:tcPr>
            <w:tcW w:w="1296" w:type="dxa"/>
          </w:tcPr>
          <w:p w14:paraId="1605DD52"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Not declared</w:t>
            </w:r>
          </w:p>
        </w:tc>
      </w:tr>
      <w:tr w:rsidR="00330C1B" w14:paraId="68D6B461"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2E92C14D" w14:textId="77777777" w:rsidR="00330C1B" w:rsidRDefault="00000000">
            <w:r>
              <w:rPr>
                <w:sz w:val="17"/>
              </w:rPr>
              <w:t>target_hf_space_findcare_backend</w:t>
            </w:r>
          </w:p>
        </w:tc>
        <w:tc>
          <w:tcPr>
            <w:tcW w:w="1728" w:type="dxa"/>
          </w:tcPr>
          <w:p w14:paraId="4F0E7C9D"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85</w:t>
            </w:r>
          </w:p>
        </w:tc>
        <w:tc>
          <w:tcPr>
            <w:tcW w:w="1440" w:type="dxa"/>
          </w:tcPr>
          <w:p w14:paraId="79CF847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33</w:t>
            </w:r>
          </w:p>
        </w:tc>
        <w:tc>
          <w:tcPr>
            <w:tcW w:w="1296" w:type="dxa"/>
          </w:tcPr>
          <w:p w14:paraId="291A165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21</w:t>
            </w:r>
          </w:p>
        </w:tc>
      </w:tr>
      <w:tr w:rsidR="00330C1B" w14:paraId="4F3D458A"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0FD2EBB8" w14:textId="77777777" w:rsidR="00330C1B" w:rsidRDefault="00000000">
            <w:r>
              <w:rPr>
                <w:sz w:val="17"/>
              </w:rPr>
              <w:t>target_hf_space_shared_services</w:t>
            </w:r>
          </w:p>
        </w:tc>
        <w:tc>
          <w:tcPr>
            <w:tcW w:w="1728" w:type="dxa"/>
          </w:tcPr>
          <w:p w14:paraId="29A9BCB3"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48</w:t>
            </w:r>
          </w:p>
        </w:tc>
        <w:tc>
          <w:tcPr>
            <w:tcW w:w="1440" w:type="dxa"/>
          </w:tcPr>
          <w:p w14:paraId="6FB8E41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25</w:t>
            </w:r>
          </w:p>
        </w:tc>
        <w:tc>
          <w:tcPr>
            <w:tcW w:w="1296" w:type="dxa"/>
          </w:tcPr>
          <w:p w14:paraId="2313F225"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13</w:t>
            </w:r>
          </w:p>
        </w:tc>
      </w:tr>
      <w:tr w:rsidR="00330C1B" w14:paraId="149FAAB8"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7CA19FA3" w14:textId="77777777" w:rsidR="00330C1B" w:rsidRDefault="00000000">
            <w:r>
              <w:rPr>
                <w:sz w:val="17"/>
              </w:rPr>
              <w:t>target_hf_space_evaluatecare_backend</w:t>
            </w:r>
          </w:p>
        </w:tc>
        <w:tc>
          <w:tcPr>
            <w:tcW w:w="1728" w:type="dxa"/>
          </w:tcPr>
          <w:p w14:paraId="5F762E9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22</w:t>
            </w:r>
          </w:p>
        </w:tc>
        <w:tc>
          <w:tcPr>
            <w:tcW w:w="1440" w:type="dxa"/>
          </w:tcPr>
          <w:p w14:paraId="53E74DB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23</w:t>
            </w:r>
          </w:p>
        </w:tc>
        <w:tc>
          <w:tcPr>
            <w:tcW w:w="1296" w:type="dxa"/>
          </w:tcPr>
          <w:p w14:paraId="6B9D8261"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15</w:t>
            </w:r>
          </w:p>
        </w:tc>
      </w:tr>
      <w:tr w:rsidR="00330C1B" w14:paraId="036778DE"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4C65027A" w14:textId="77777777" w:rsidR="00330C1B" w:rsidRDefault="00000000">
            <w:r>
              <w:rPr>
                <w:sz w:val="17"/>
              </w:rPr>
              <w:t>target_cloudflare_pages_website</w:t>
            </w:r>
          </w:p>
        </w:tc>
        <w:tc>
          <w:tcPr>
            <w:tcW w:w="1728" w:type="dxa"/>
          </w:tcPr>
          <w:p w14:paraId="5A1CCD8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w:t>
            </w:r>
          </w:p>
        </w:tc>
        <w:tc>
          <w:tcPr>
            <w:tcW w:w="1440" w:type="dxa"/>
          </w:tcPr>
          <w:p w14:paraId="1E065BCA"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0</w:t>
            </w:r>
          </w:p>
        </w:tc>
        <w:tc>
          <w:tcPr>
            <w:tcW w:w="1296" w:type="dxa"/>
          </w:tcPr>
          <w:p w14:paraId="74FC0562"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0</w:t>
            </w:r>
          </w:p>
        </w:tc>
      </w:tr>
    </w:tbl>
    <w:p w14:paraId="33947E4B" w14:textId="77777777" w:rsidR="00330C1B" w:rsidRDefault="00000000">
      <w:r>
        <w:t>The website declares three Python files and none of them reads an environment name, so the rule finds nothing there. That is a result, not an exemption: the same check runs and passes.</w:t>
      </w:r>
    </w:p>
    <w:p w14:paraId="62BDCC13" w14:textId="77777777" w:rsidR="00330C1B" w:rsidRDefault="00000000">
      <w:r>
        <w:t>On the three servers the undeclared names divide three ways, and only the third is a defect the record must answer for.</w:t>
      </w:r>
    </w:p>
    <w:p w14:paraId="264AE406" w14:textId="77777777" w:rsidR="00330C1B" w:rsidRDefault="00000000">
      <w:pPr>
        <w:pStyle w:val="ListBullet"/>
      </w:pPr>
      <w:r>
        <w:t>Host-supplied — PORT, SPACE_ID, the managed-identity probes, the TLS paths. These are why the second category of §4.9.1 exists; without it the rule would report thirty-odd failures that no record should carry and would be switched off within a week.</w:t>
      </w:r>
    </w:p>
    <w:p w14:paraId="221A7BF8" w14:textId="77777777" w:rsidR="00330C1B" w:rsidRDefault="00000000">
      <w:pPr>
        <w:pStyle w:val="ListBullet"/>
      </w:pPr>
      <w:r>
        <w:t>Read by test files the manifest declares — SIT_BASE_URL from Code/ConversationalUX/FindCareChat/backend/tests/test_banner.py and TEST_BASE_URL from tests/dev_environment_user_ready.py, both on the FindCare target. These disappear under C-16 rather than being declared: a test file is not a runtime file and does not belong in a build context, which is the other half of BUG-011.</w:t>
      </w:r>
    </w:p>
    <w:p w14:paraId="6D129F00" w14:textId="77777777" w:rsidR="00330C1B" w:rsidRDefault="00000000">
      <w:pPr>
        <w:pStyle w:val="ListBullet"/>
      </w:pPr>
      <w:r>
        <w:t>Genuinely undeclared runtime bindings. GOOGLE_MAPS_API_KEY is the sharpest — Code/ConversationalUX/FindCareChat/backend/domain/evaluate_care_quality/clinical_trials_se</w:t>
      </w:r>
      <w:r>
        <w:t>rvice.py reads it at request time and no target declares it, so nothing sets it and nothing has ever said so. GEMINI_API_KEY is read by chathealthy_lib/geo_extractor.py, which EvaluateCare declares, and is declared on FindCare and SharedServices but not on EvaluateCare. API_TOKEN_MAP gates the administrative routes of runtime_data_collections.py on all three servers and is declared only on FindCare. CHAT_MODEL, APP_VERSION, DEBUG, HUMAN_TESTING and ME_DIR are read by the FindCare backend; CH_LOG_DESTINATION, CH_SPACE_NAME, DATA_VERSION and PIPELINE_NAME are read by the logging service on all three.</w:t>
      </w:r>
    </w:p>
    <w:p w14:paraId="7E6AAEE5" w14:textId="77777777" w:rsidR="00330C1B" w:rsidRDefault="00000000">
      <w:r>
        <w:t>CH_EMBEDDING_MODEL joins that third category the moment C-21b puts the read inside embed(). The derivation then sees it in every target declaring the facade module and requires the binding there — and a target that declares the facade while never embedding is over-declared, which is the condition C-16 removes. That is the same relation as C-23a: the rule is only as sharp as the file list.</w:t>
      </w:r>
    </w:p>
    <w:p w14:paraId="5DC4769C" w14:textId="77777777" w:rsidR="00330C1B" w:rsidRDefault="00000000">
      <w:pPr>
        <w:pStyle w:val="Heading3"/>
      </w:pPr>
      <w:r>
        <w:t>4.9.4 A declared binding that will not resolve</w:t>
      </w:r>
    </w:p>
    <w:p w14:paraId="55071C68" w14:textId="77777777" w:rsidR="00330C1B" w:rsidRDefault="00000000">
      <w:pPr>
        <w:spacing w:before="80"/>
        <w:ind w:left="432"/>
      </w:pPr>
      <w:r>
        <w:rPr>
          <w:b/>
          <w:sz w:val="19"/>
        </w:rPr>
        <w:t xml:space="preserve">EPIC-008-F-012-S-004-REQ-B-009  </w:t>
      </w:r>
      <w:r>
        <w:rPr>
          <w:i/>
          <w:sz w:val="19"/>
        </w:rPr>
        <w:t>"Every secret and variable a target declares MUST be resolved individually, by the name the declaration gives it, in every environment without exception. A deploy MUST NOT hand a target a store wholesale: no environment may receive a file, a vault, or any other collection of values in place of the named entries it declares. Where a declared name cannot be resolved from the store it is bound to, the deploy MUST fail, naming the entry, the store and the environment, and MUST NOT substitute a value from any other source or install the target partially."</w:t>
      </w:r>
    </w:p>
    <w:p w14:paraId="0CD9A48A" w14:textId="77777777" w:rsidR="00330C1B" w:rsidRDefault="00000000">
      <w:pPr>
        <w:ind w:left="432"/>
      </w:pPr>
      <w:r>
        <w:rPr>
          <w:b/>
          <w:color w:val="005500"/>
        </w:rPr>
        <w:t>Designed change C-24</w:t>
      </w:r>
      <w:r>
        <w:rPr>
          <w:color w:val="005500"/>
          <w:sz w:val="18"/>
        </w:rPr>
        <w:t xml:space="preserve">  (owner: EPIC-008-F-012)  </w:t>
      </w:r>
      <w:r>
        <w:rPr>
          <w:color w:val="005500"/>
        </w:rPr>
        <w:t>This is the other half of the same question — C-23 asks whether a needed binding is declared, this asks whether a declared binding can be read — and it is met at one point in the chain. SecretsResolver.resolve(name, env) in secrets_resolver.py is the single resolution site and is already reached one name at a time, which is the individually clause; the qualifier on the declaration names the store, and resolve is called with that store and has no second source to fall back to, which is the no substitution clause. The wholesale prohibition is met by there being no code path that hands a target a file or a vault: a target receives the values of the names it declared and nothing else, so an environment cannot be given a store in place of its entries. The partial-install prohibition is the ordering: _deploy_chain resolves a target's entire declared set before dispatching its handler, rather than resolving each value as the handler asks for it, so a name that will not resolve fails the target before anything has been installed. The failure names the entry, the store the qualifier bound it to, and the environment, and installs nothing.</w:t>
      </w:r>
    </w:p>
    <w:p w14:paraId="148A050C" w14:textId="77777777" w:rsidR="00330C1B" w:rsidRDefault="00000000">
      <w:pPr>
        <w:pStyle w:val="Heading3"/>
      </w:pPr>
      <w:r>
        <w:t>4.9.5 The file that has nowhere to bind</w:t>
      </w:r>
    </w:p>
    <w:p w14:paraId="0DF058B5" w14:textId="77777777" w:rsidR="00330C1B" w:rsidRDefault="00000000">
      <w:pPr>
        <w:ind w:left="432"/>
      </w:pPr>
      <w:r>
        <w:rPr>
          <w:b/>
          <w:color w:val="990000"/>
        </w:rPr>
        <w:t xml:space="preserve">Code contradicts this design: </w:t>
      </w:r>
      <w:r>
        <w:rPr>
          <w:color w:val="990000"/>
        </w:rPr>
        <w:t>pipeline/Code/embedding_engine.py, which holds the pipeline's embedding call and its CANONICAL_MODEL constant, is declared in no target's file list. Neither is pipeline/Code/steps/publish_smd_and_embed.py, the step that invokes it. C-21b binds CH_EMBEDDING_MODEL to the target whose code writes the vectors, and there is no target declaring that code for the binding to attach to.</w:t>
      </w:r>
    </w:p>
    <w:p w14:paraId="5887C5D5" w14:textId="77777777" w:rsidR="00330C1B" w:rsidRDefault="00000000">
      <w:pPr>
        <w:ind w:left="432"/>
      </w:pPr>
      <w:r>
        <w:rPr>
          <w:b/>
          <w:color w:val="005500"/>
        </w:rPr>
        <w:t>Designed change C-24a</w:t>
      </w:r>
      <w:r>
        <w:rPr>
          <w:color w:val="005500"/>
          <w:sz w:val="18"/>
        </w:rPr>
        <w:t xml:space="preserve">  (owner: EPIC-008-F-012 owns the record; EPIC-010 owns the code)  </w:t>
      </w:r>
      <w:r>
        <w:rPr>
          <w:color w:val="005500"/>
        </w:rPr>
        <w:t xml:space="preserve">Both files are declared on target_host_local_deploy_tool under its service_runtime package, which is the target that already declares provider_pipeline_orchestrator.py and the fifteen steps beside </w:t>
      </w:r>
      <w:r>
        <w:rPr>
          <w:color w:val="005500"/>
        </w:rPr>
        <w:t>these two — the embed step belongs with the steps it runs among, and no other target declares any of them. The target then gains CH_EMBEDDING_MODEL as a variable carrying the firm:embedding_model qualifier of C-21b, which is the second of the two bindings that change together. With the files declared and the binding attached, C-23 covers this target like any other: its declared code reads the name, its record declares it, and a later edit that removed the binding while leaving the code would fail the build.</w:t>
      </w:r>
    </w:p>
    <w:p w14:paraId="6BBD716A" w14:textId="77777777" w:rsidR="00330C1B" w:rsidRDefault="00000000">
      <w:r>
        <w:br w:type="page"/>
      </w:r>
    </w:p>
    <w:p w14:paraId="5DB4E512" w14:textId="77777777" w:rsidR="00330C1B" w:rsidRDefault="00000000">
      <w:pPr>
        <w:pStyle w:val="Heading1"/>
      </w:pPr>
      <w:r>
        <w:t>5. Security architecture</w:t>
      </w:r>
    </w:p>
    <w:p w14:paraId="7FC4BD3A" w14:textId="77777777" w:rsidR="00330C1B" w:rsidRDefault="00000000">
      <w:pPr>
        <w:pStyle w:val="Heading2"/>
      </w:pPr>
      <w:r>
        <w:t>5.1 What FindCare has to protect</w:t>
      </w:r>
    </w:p>
    <w:p w14:paraId="399C442B" w14:textId="77777777" w:rsidR="00330C1B" w:rsidRDefault="00000000">
      <w:r>
        <w:t>FindCare holds no medical record and no clinical history. What it holds is nonetheless sensitive, and the design turns on being precise about which of it is which.</w:t>
      </w:r>
    </w:p>
    <w:tbl>
      <w:tblPr>
        <w:tblStyle w:val="LightGrid-Accent1"/>
        <w:tblW w:w="0" w:type="auto"/>
        <w:tblLook w:val="04A0" w:firstRow="1" w:lastRow="0" w:firstColumn="1" w:lastColumn="0" w:noHBand="0" w:noVBand="1"/>
      </w:tblPr>
      <w:tblGrid>
        <w:gridCol w:w="2579"/>
        <w:gridCol w:w="2769"/>
        <w:gridCol w:w="3508"/>
      </w:tblGrid>
      <w:tr w:rsidR="00330C1B" w14:paraId="69B3FDFE" w14:textId="77777777" w:rsidTr="00330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AF00741" w14:textId="77777777" w:rsidR="00330C1B" w:rsidRDefault="00000000">
            <w:r>
              <w:rPr>
                <w:sz w:val="18"/>
              </w:rPr>
              <w:t>Asset</w:t>
            </w:r>
          </w:p>
        </w:tc>
        <w:tc>
          <w:tcPr>
            <w:tcW w:w="2880" w:type="dxa"/>
          </w:tcPr>
          <w:p w14:paraId="25531617"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Where it lives</w:t>
            </w:r>
          </w:p>
        </w:tc>
        <w:tc>
          <w:tcPr>
            <w:tcW w:w="3744" w:type="dxa"/>
          </w:tcPr>
          <w:p w14:paraId="7F834326"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Why it matters</w:t>
            </w:r>
          </w:p>
        </w:tc>
      </w:tr>
      <w:tr w:rsidR="00330C1B" w14:paraId="5ED3CC16"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923D669" w14:textId="77777777" w:rsidR="00330C1B" w:rsidRDefault="00000000">
            <w:r>
              <w:rPr>
                <w:sz w:val="17"/>
              </w:rPr>
              <w:t>The provider and specialty collections</w:t>
            </w:r>
          </w:p>
        </w:tc>
        <w:tc>
          <w:tcPr>
            <w:tcW w:w="2880" w:type="dxa"/>
          </w:tcPr>
          <w:p w14:paraId="2EE54B85"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ChatHealthyFrontEnd cluster, versioned collections</w:t>
            </w:r>
          </w:p>
        </w:tc>
        <w:tc>
          <w:tcPr>
            <w:tcW w:w="3744" w:type="dxa"/>
          </w:tcPr>
          <w:p w14:paraId="2D8EEAD6"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Public registry data. Its value is integrity, not confidentiality: a person acts on it, so a wrong address or a wrong licence is the harm.</w:t>
            </w:r>
          </w:p>
        </w:tc>
      </w:tr>
      <w:tr w:rsidR="00330C1B" w14:paraId="323DEA25"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7E49589B" w14:textId="77777777" w:rsidR="00330C1B" w:rsidRDefault="00000000">
            <w:r>
              <w:rPr>
                <w:sz w:val="17"/>
              </w:rPr>
              <w:t>The session — parameters, selections, positions</w:t>
            </w:r>
          </w:p>
        </w:tc>
        <w:tc>
          <w:tcPr>
            <w:tcW w:w="2880" w:type="dxa"/>
          </w:tcPr>
          <w:p w14:paraId="5ED932B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Users.sessions on the same cluster</w:t>
            </w:r>
          </w:p>
        </w:tc>
        <w:tc>
          <w:tcPr>
            <w:tcW w:w="3744" w:type="dxa"/>
          </w:tcPr>
          <w:p w14:paraId="4D7C3D06"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What a person said they are looking for. A complaint is a statement about their health.</w:t>
            </w:r>
          </w:p>
        </w:tc>
      </w:tr>
      <w:tr w:rsidR="00330C1B" w14:paraId="0C2D2D51"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0C4C548D" w14:textId="77777777" w:rsidR="00330C1B" w:rsidRDefault="00000000">
            <w:r>
              <w:rPr>
                <w:sz w:val="17"/>
              </w:rPr>
              <w:t>The session token</w:t>
            </w:r>
          </w:p>
        </w:tc>
        <w:tc>
          <w:tcPr>
            <w:tcW w:w="2880" w:type="dxa"/>
          </w:tcPr>
          <w:p w14:paraId="67546728"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Browser memory only, never a cookie</w:t>
            </w:r>
          </w:p>
        </w:tc>
        <w:tc>
          <w:tcPr>
            <w:tcW w:w="3744" w:type="dxa"/>
          </w:tcPr>
          <w:p w14:paraId="2C0663B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It is the credential for every call.</w:t>
            </w:r>
          </w:p>
        </w:tc>
      </w:tr>
      <w:tr w:rsidR="00330C1B" w14:paraId="4EC4FF89"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C30463B" w14:textId="77777777" w:rsidR="00330C1B" w:rsidRDefault="00000000">
            <w:r>
              <w:rPr>
                <w:sz w:val="17"/>
              </w:rPr>
              <w:t>Service credentials and API keys</w:t>
            </w:r>
          </w:p>
        </w:tc>
        <w:tc>
          <w:tcPr>
            <w:tcW w:w="2880" w:type="dxa"/>
          </w:tcPr>
          <w:p w14:paraId="23031C0E"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Azure Key Vault, injected as Space secrets</w:t>
            </w:r>
          </w:p>
        </w:tc>
        <w:tc>
          <w:tcPr>
            <w:tcW w:w="3744" w:type="dxa"/>
          </w:tcPr>
          <w:p w14:paraId="4957F7AA"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They authenticate FindCare to Atlas, to the model providers and to the vault itself.</w:t>
            </w:r>
          </w:p>
        </w:tc>
      </w:tr>
      <w:tr w:rsidR="00330C1B" w14:paraId="7B6BAF83"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768C0F3F" w14:textId="77777777" w:rsidR="00330C1B" w:rsidRDefault="00000000">
            <w:r>
              <w:rPr>
                <w:sz w:val="17"/>
              </w:rPr>
              <w:t>The service certificates</w:t>
            </w:r>
          </w:p>
        </w:tc>
        <w:tc>
          <w:tcPr>
            <w:tcW w:w="2880" w:type="dxa"/>
          </w:tcPr>
          <w:p w14:paraId="7631D3F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Injected as Space variables from the repository</w:t>
            </w:r>
          </w:p>
        </w:tc>
        <w:tc>
          <w:tcPr>
            <w:tcW w:w="3744" w:type="dxa"/>
          </w:tcPr>
          <w:p w14:paraId="709E13D4"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They are how one service proves to another which service it is.</w:t>
            </w:r>
          </w:p>
        </w:tc>
      </w:tr>
    </w:tbl>
    <w:p w14:paraId="6D392C66" w14:textId="77777777" w:rsidR="00330C1B" w:rsidRDefault="00000000">
      <w:r>
        <w:t>One asset FindCare deliberately does not hold: a tax identifier. EPIC-006-F-007-S-001-REQ-B-005 forbids storing, transmitting or showing one, and §3.7.5 places the enforcement at the write boundary rather than at the display.</w:t>
      </w:r>
    </w:p>
    <w:p w14:paraId="45692FFA" w14:textId="77777777" w:rsidR="00330C1B" w:rsidRDefault="00000000">
      <w:pPr>
        <w:pStyle w:val="Heading2"/>
      </w:pPr>
      <w:r>
        <w:t>5.2 The gateway, and what is reachable from where</w:t>
      </w:r>
    </w:p>
    <w:p w14:paraId="6F626B73" w14:textId="77777777" w:rsidR="00330C1B" w:rsidRDefault="00000000">
      <w:pPr>
        <w:spacing w:before="80"/>
        <w:ind w:left="432"/>
      </w:pPr>
      <w:r>
        <w:rPr>
          <w:b/>
          <w:sz w:val="19"/>
        </w:rPr>
        <w:t xml:space="preserve">EPIC-006-F-001-S-003-REQ-B-004  </w:t>
      </w:r>
      <w:r>
        <w:rPr>
          <w:i/>
          <w:sz w:val="19"/>
        </w:rPr>
        <w:t>"Every request FindCare receives MUST arrive through the one approved gateway for the environment it is running in. A request reaching any FindCare surface by any other route MUST be refused."</w:t>
      </w:r>
    </w:p>
    <w:p w14:paraId="2DC10E9E" w14:textId="77777777" w:rsidR="00330C1B" w:rsidRDefault="00000000">
      <w:r>
        <w:t>The approved gateway is POST /gate on SharedServices, defined in sharedServices/Code/app.py. It is the single client-facing endpoint for the whole application: the browser posts {op, payload, session_token} and nothing else in the application is addressed from a browser. The gateway is the only session-validation site in the system, which is the reason it is the only entrance — a second entrance would be a second place where the decision to trust a caller is made.</w:t>
      </w:r>
    </w:p>
    <w:p w14:paraId="625A9658" w14:textId="77777777" w:rsidR="00330C1B" w:rsidRDefault="00000000">
      <w:r>
        <w:t>The requirement has two halves and they are met by different mechanisms.</w:t>
      </w:r>
    </w:p>
    <w:p w14:paraId="48468ABB" w14:textId="77777777" w:rsidR="00330C1B" w:rsidRDefault="00000000">
      <w:r>
        <w:t>The first half — arriving through the gateway — is met by the client having no other address to call. Website/ClientRouter.js is the only transport in the browser, and it posts to the SharedServices origin alone. The FindCare Space's address is used for exactly one thing: as the src of the single React iframe. Every call that iframe makes goes back out through the wrapper's router to /gate.</w:t>
      </w:r>
    </w:p>
    <w:p w14:paraId="5544FCD4" w14:textId="77777777" w:rsidR="00330C1B" w:rsidRDefault="00000000">
      <w:r>
        <w:t xml:space="preserve">The second half — refusing a request that arrives by another route — is met inside FindCare and cannot be met outside it. FindCare's Space is a public HTTPS host: dev.chathealthy.ai/findcare resolves to a HuggingFace Space, and a Space cannot require a client certificate, so mutual TLS is not available (this is recorded as BUG-004). The mechanism available is the one the application already carries: SharedServices signs a session token with its own key, and FindCare receives SharedServices' certificate as the SHARED_CERT_PEM variable at deploy time. Every FindCare domain route therefore requires a token bearing a valid SharedServices signature and refuses a request without </w:t>
      </w:r>
      <w:r>
        <w:t>one. FindCare verifies the signature; it does not re-validate the session, because the gateway has already done that and a second validation with a different answer would be worse than none.</w:t>
      </w:r>
    </w:p>
    <w:p w14:paraId="52A42323" w14:textId="77777777" w:rsidR="00330C1B" w:rsidRDefault="00000000">
      <w:pPr>
        <w:ind w:left="432"/>
      </w:pPr>
      <w:r>
        <w:rPr>
          <w:b/>
          <w:color w:val="990000"/>
        </w:rPr>
        <w:t xml:space="preserve">Code contradicts this design: </w:t>
      </w:r>
      <w:r>
        <w:rPr>
          <w:color w:val="990000"/>
        </w:rPr>
        <w:t>None of /search, /classify, /provider-detail or /clinical_trials verifies anything. All four accept an unauthenticated POST from any origin on the public Space address, so the second half of this requirement is not met anywhere in the system. The Space also serves the React bundle at / and mounts /admin/swap and /debug/active_collections, which are bearer-gated against API_TOKEN_MAP and are the only routes on the target that check a caller at all.</w:t>
      </w:r>
    </w:p>
    <w:p w14:paraId="7DE4D28C" w14:textId="77777777" w:rsidR="00330C1B" w:rsidRDefault="00000000">
      <w:pPr>
        <w:ind w:left="432"/>
      </w:pPr>
      <w:r>
        <w:rPr>
          <w:b/>
          <w:color w:val="005500"/>
        </w:rPr>
        <w:t>Designed change C-17</w:t>
      </w:r>
      <w:r>
        <w:rPr>
          <w:color w:val="005500"/>
          <w:sz w:val="18"/>
        </w:rPr>
        <w:t xml:space="preserve">  (owner: EPIC-006 for the four routes; EPIC-008-F-012 for moving the bundle)  </w:t>
      </w:r>
      <w:r>
        <w:rPr>
          <w:color w:val="005500"/>
        </w:rPr>
        <w:t>Two changes, because the requirement covers every FindCare surface and the four domain routes are not all of them. First, each of /search, /classify, /provider-detail and /clinical_trials takes the session token on the request body and calls SessionToken.verify(expected_origin="SharedServices") before it does anything else. That call loads /certs/shared.crt and checks an RSA PKCS1v15 SHA256 signature over origin:stamp:guid — the certificate is already delivered to the target as the SHARED_CERT_PEM variable and already placed by cert_placement.py, so nothing new is issued, distributed or stored. A false return or a raise is a 401. The three SharedServices hop tools forward the token they already hold, so nothing upstream changes shape. FindCare verifies the signature and does not re-validate the session, because /gate has already done that and a second validation with a different answer would be worse than none. Second, the React bundle moves out of the FindCare build context into the website target's static_pages package, and the iframe src becomes a website path. The FindCare Space then serves no browser-addressable surface at all, which is what lets every route on it require a signature — a bundle route that required one could not be loaded by the iframe that needs it.</w:t>
      </w:r>
    </w:p>
    <w:p w14:paraId="4E6E4716" w14:textId="77777777" w:rsidR="00330C1B" w:rsidRDefault="00000000">
      <w:pPr>
        <w:pStyle w:val="Heading2"/>
      </w:pPr>
      <w:r>
        <w:t>5.3 Trust boundaries</w:t>
      </w:r>
    </w:p>
    <w:tbl>
      <w:tblPr>
        <w:tblStyle w:val="LightGrid-Accent1"/>
        <w:tblW w:w="0" w:type="auto"/>
        <w:tblLook w:val="04A0" w:firstRow="1" w:lastRow="0" w:firstColumn="1" w:lastColumn="0" w:noHBand="0" w:noVBand="1"/>
      </w:tblPr>
      <w:tblGrid>
        <w:gridCol w:w="2312"/>
        <w:gridCol w:w="2407"/>
        <w:gridCol w:w="4137"/>
      </w:tblGrid>
      <w:tr w:rsidR="00330C1B" w14:paraId="69B937DE" w14:textId="77777777" w:rsidTr="00330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7A9E524" w14:textId="77777777" w:rsidR="00330C1B" w:rsidRDefault="00000000">
            <w:r>
              <w:rPr>
                <w:sz w:val="18"/>
              </w:rPr>
              <w:t>Boundary</w:t>
            </w:r>
          </w:p>
        </w:tc>
        <w:tc>
          <w:tcPr>
            <w:tcW w:w="2448" w:type="dxa"/>
          </w:tcPr>
          <w:p w14:paraId="4BC8813A"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Crossed by</w:t>
            </w:r>
          </w:p>
        </w:tc>
        <w:tc>
          <w:tcPr>
            <w:tcW w:w="4464" w:type="dxa"/>
          </w:tcPr>
          <w:p w14:paraId="66125E51"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What establishes trust</w:t>
            </w:r>
          </w:p>
        </w:tc>
      </w:tr>
      <w:tr w:rsidR="00330C1B" w14:paraId="76F1DB30"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01A135D1" w14:textId="77777777" w:rsidR="00330C1B" w:rsidRDefault="00000000">
            <w:r>
              <w:rPr>
                <w:sz w:val="17"/>
              </w:rPr>
              <w:t>Public internet → the wrapper</w:t>
            </w:r>
          </w:p>
        </w:tc>
        <w:tc>
          <w:tcPr>
            <w:tcW w:w="2448" w:type="dxa"/>
          </w:tcPr>
          <w:p w14:paraId="209A3133"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Any browser</w:t>
            </w:r>
          </w:p>
        </w:tc>
        <w:tc>
          <w:tcPr>
            <w:tcW w:w="4464" w:type="dxa"/>
          </w:tcPr>
          <w:p w14:paraId="565E33B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Cloudflare in front of the Pages project. The wrapper is public by design; it holds no data.</w:t>
            </w:r>
          </w:p>
        </w:tc>
      </w:tr>
      <w:tr w:rsidR="00330C1B" w14:paraId="037527A3"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772A657" w14:textId="77777777" w:rsidR="00330C1B" w:rsidRDefault="00000000">
            <w:r>
              <w:rPr>
                <w:sz w:val="17"/>
              </w:rPr>
              <w:t>Browser → SharedServices</w:t>
            </w:r>
          </w:p>
        </w:tc>
        <w:tc>
          <w:tcPr>
            <w:tcW w:w="2448" w:type="dxa"/>
          </w:tcPr>
          <w:p w14:paraId="446432A5"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POST /gate</w:t>
            </w:r>
          </w:p>
        </w:tc>
        <w:tc>
          <w:tcPr>
            <w:tcW w:w="4464" w:type="dxa"/>
          </w:tcPr>
          <w:p w14:paraId="52F7B204"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A signed session token in the body, verified on every non-trivial op. Five ops are pre-auth: peer_urls, peer_health, session, verify_token, transfer_to_findcare — the ops a client needs before it has a token.</w:t>
            </w:r>
          </w:p>
        </w:tc>
      </w:tr>
      <w:tr w:rsidR="00330C1B" w14:paraId="7B4E7ED9"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07E4612" w14:textId="77777777" w:rsidR="00330C1B" w:rsidRDefault="00000000">
            <w:r>
              <w:rPr>
                <w:sz w:val="17"/>
              </w:rPr>
              <w:t>SharedServices → FindCare</w:t>
            </w:r>
          </w:p>
        </w:tc>
        <w:tc>
          <w:tcPr>
            <w:tcW w:w="2448" w:type="dxa"/>
          </w:tcPr>
          <w:p w14:paraId="475300A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POST to FINDCARE_INTERNAL_URL</w:t>
            </w:r>
          </w:p>
        </w:tc>
        <w:tc>
          <w:tcPr>
            <w:tcW w:w="4464" w:type="dxa"/>
          </w:tcPr>
          <w:p w14:paraId="564DA20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By design, the SharedServices signature on the forwarded token (§5.2). Today, nothing.</w:t>
            </w:r>
          </w:p>
        </w:tc>
      </w:tr>
      <w:tr w:rsidR="00330C1B" w14:paraId="519058D7"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0D653888" w14:textId="77777777" w:rsidR="00330C1B" w:rsidRDefault="00000000">
            <w:r>
              <w:rPr>
                <w:sz w:val="17"/>
              </w:rPr>
              <w:t>Any service → Atlas</w:t>
            </w:r>
          </w:p>
        </w:tc>
        <w:tc>
          <w:tcPr>
            <w:tcW w:w="2448" w:type="dxa"/>
          </w:tcPr>
          <w:p w14:paraId="7F3669E2"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ChatHealthyMongoUtilities</w:t>
            </w:r>
          </w:p>
        </w:tc>
        <w:tc>
          <w:tcPr>
            <w:tcW w:w="4464" w:type="dxa"/>
          </w:tcPr>
          <w:p w14:paraId="6588F0F2"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An X.509 certificate for the named identity. The certificate is the credential; there is no connection string.</w:t>
            </w:r>
          </w:p>
        </w:tc>
      </w:tr>
      <w:tr w:rsidR="00330C1B" w14:paraId="4C08F2E0"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29AD23A6" w14:textId="77777777" w:rsidR="00330C1B" w:rsidRDefault="00000000">
            <w:r>
              <w:rPr>
                <w:sz w:val="17"/>
              </w:rPr>
              <w:t>Any service → Key Vault</w:t>
            </w:r>
          </w:p>
        </w:tc>
        <w:tc>
          <w:tcPr>
            <w:tcW w:w="2448" w:type="dxa"/>
          </w:tcPr>
          <w:p w14:paraId="723D4E3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vault client</w:t>
            </w:r>
          </w:p>
        </w:tc>
        <w:tc>
          <w:tcPr>
            <w:tcW w:w="4464" w:type="dxa"/>
          </w:tcPr>
          <w:p w14:paraId="34EEE661"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frontendUser service principal, which holds Key Vault Secrets User and nothing more.</w:t>
            </w:r>
          </w:p>
        </w:tc>
      </w:tr>
      <w:tr w:rsidR="00330C1B" w14:paraId="78345CE1"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0E5A5AD6" w14:textId="77777777" w:rsidR="00330C1B" w:rsidRDefault="00000000">
            <w:r>
              <w:rPr>
                <w:sz w:val="17"/>
              </w:rPr>
              <w:t>FindCare → the NPI registry, the trials registry</w:t>
            </w:r>
          </w:p>
        </w:tc>
        <w:tc>
          <w:tcPr>
            <w:tcW w:w="2448" w:type="dxa"/>
          </w:tcPr>
          <w:p w14:paraId="3B5B86F4"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Outbound HTTPS</w:t>
            </w:r>
          </w:p>
        </w:tc>
        <w:tc>
          <w:tcPr>
            <w:tcW w:w="4464" w:type="dxa"/>
          </w:tcPr>
          <w:p w14:paraId="415515DB"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Neither is authenticated. Both are public read-only APIs and neither receives anything about the person.</w:t>
            </w:r>
          </w:p>
        </w:tc>
      </w:tr>
    </w:tbl>
    <w:p w14:paraId="0BDC1A47" w14:textId="77777777" w:rsidR="00330C1B" w:rsidRDefault="00000000">
      <w:r>
        <w:t xml:space="preserve">The last row is a property of the design worth naming: opening a provider detail sends an NPI to the registry and a trial search sends a condition to the trials registry. Neither call carries a session token, </w:t>
      </w:r>
      <w:r>
        <w:t>a session identifier or anything identifying the person, so nothing about who asked leaves our boundary.</w:t>
      </w:r>
    </w:p>
    <w:p w14:paraId="15E8D70F" w14:textId="77777777" w:rsidR="00330C1B" w:rsidRDefault="00000000">
      <w:pPr>
        <w:pStyle w:val="Heading2"/>
      </w:pPr>
      <w:r>
        <w:t>5.4 Identities</w:t>
      </w:r>
    </w:p>
    <w:p w14:paraId="208F15F2" w14:textId="77777777" w:rsidR="00330C1B" w:rsidRDefault="00000000">
      <w:r>
        <w:t>FindCare runs as one identity. Its Space is bound to CH_IDENTITY=frontendUser, and every Atlas connection it opens names that identity explicitly.</w:t>
      </w:r>
    </w:p>
    <w:tbl>
      <w:tblPr>
        <w:tblStyle w:val="LightGrid-Accent1"/>
        <w:tblW w:w="0" w:type="auto"/>
        <w:tblLook w:val="04A0" w:firstRow="1" w:lastRow="0" w:firstColumn="1" w:lastColumn="0" w:noHBand="0" w:noVBand="1"/>
      </w:tblPr>
      <w:tblGrid>
        <w:gridCol w:w="1944"/>
        <w:gridCol w:w="1609"/>
        <w:gridCol w:w="2701"/>
        <w:gridCol w:w="2602"/>
      </w:tblGrid>
      <w:tr w:rsidR="00330C1B" w14:paraId="76D9DC67" w14:textId="77777777" w:rsidTr="00330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2C49A0EF" w14:textId="77777777" w:rsidR="00330C1B" w:rsidRDefault="00000000">
            <w:r>
              <w:rPr>
                <w:sz w:val="18"/>
              </w:rPr>
              <w:t>Identity</w:t>
            </w:r>
          </w:p>
        </w:tc>
        <w:tc>
          <w:tcPr>
            <w:tcW w:w="1728" w:type="dxa"/>
          </w:tcPr>
          <w:p w14:paraId="1FAFB742"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Class</w:t>
            </w:r>
          </w:p>
        </w:tc>
        <w:tc>
          <w:tcPr>
            <w:tcW w:w="2880" w:type="dxa"/>
          </w:tcPr>
          <w:p w14:paraId="33162EED"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Holds</w:t>
            </w:r>
          </w:p>
        </w:tc>
        <w:tc>
          <w:tcPr>
            <w:tcW w:w="2736" w:type="dxa"/>
          </w:tcPr>
          <w:p w14:paraId="75130CAA"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Used by FindCare for</w:t>
            </w:r>
          </w:p>
        </w:tc>
      </w:tr>
      <w:tr w:rsidR="00330C1B" w14:paraId="1DA35346"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1EE944FF" w14:textId="77777777" w:rsidR="00330C1B" w:rsidRDefault="00000000">
            <w:r>
              <w:rPr>
                <w:sz w:val="17"/>
              </w:rPr>
              <w:t>frontendUser</w:t>
            </w:r>
          </w:p>
        </w:tc>
        <w:tc>
          <w:tcPr>
            <w:tcW w:w="1728" w:type="dxa"/>
          </w:tcPr>
          <w:p w14:paraId="76089B9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service principal</w:t>
            </w:r>
          </w:p>
        </w:tc>
        <w:tc>
          <w:tcPr>
            <w:tcW w:w="2880" w:type="dxa"/>
          </w:tcPr>
          <w:p w14:paraId="4344D49B"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Key Vault Secrets User</w:t>
            </w:r>
          </w:p>
        </w:tc>
        <w:tc>
          <w:tcPr>
            <w:tcW w:w="2736" w:type="dxa"/>
          </w:tcPr>
          <w:p w14:paraId="429D0A5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Reading its own secrets from the vault, and authenticating to the ChatHealthyFrontEnd cluster.</w:t>
            </w:r>
          </w:p>
        </w:tc>
      </w:tr>
      <w:tr w:rsidR="00330C1B" w14:paraId="2D9D278A"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1DBE74D5" w14:textId="77777777" w:rsidR="00330C1B" w:rsidRDefault="00000000">
            <w:r>
              <w:rPr>
                <w:sz w:val="17"/>
              </w:rPr>
              <w:t>claudeCodeAgent</w:t>
            </w:r>
          </w:p>
        </w:tc>
        <w:tc>
          <w:tcPr>
            <w:tcW w:w="1728" w:type="dxa"/>
          </w:tcPr>
          <w:p w14:paraId="2E94BF09"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service principal</w:t>
            </w:r>
          </w:p>
        </w:tc>
        <w:tc>
          <w:tcPr>
            <w:tcW w:w="2880" w:type="dxa"/>
          </w:tcPr>
          <w:p w14:paraId="1B7183D4"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chatHealthyAgent, Key Vault Administrator, Reader</w:t>
            </w:r>
          </w:p>
        </w:tc>
        <w:tc>
          <w:tcPr>
            <w:tcW w:w="2736" w:type="dxa"/>
          </w:tcPr>
          <w:p w14:paraId="6CDB2166"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Nothing at runtime. It is the agent identity for engineering work.</w:t>
            </w:r>
          </w:p>
        </w:tc>
      </w:tr>
      <w:tr w:rsidR="00330C1B" w14:paraId="2EFBF40D"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010298C0" w14:textId="77777777" w:rsidR="00330C1B" w:rsidRDefault="00000000">
            <w:r>
              <w:rPr>
                <w:sz w:val="17"/>
              </w:rPr>
              <w:t>DevOpsUser</w:t>
            </w:r>
          </w:p>
        </w:tc>
        <w:tc>
          <w:tcPr>
            <w:tcW w:w="1728" w:type="dxa"/>
          </w:tcPr>
          <w:p w14:paraId="5BAAB964"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service principal</w:t>
            </w:r>
          </w:p>
        </w:tc>
        <w:tc>
          <w:tcPr>
            <w:tcW w:w="2880" w:type="dxa"/>
          </w:tcPr>
          <w:p w14:paraId="3F9721A6"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Key Vault roles, Automation, Website Contributor, AcrPush</w:t>
            </w:r>
          </w:p>
        </w:tc>
        <w:tc>
          <w:tcPr>
            <w:tcW w:w="2736" w:type="dxa"/>
          </w:tcPr>
          <w:p w14:paraId="23F2A6F6"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Nothing at runtime. It is the deploy identity.</w:t>
            </w:r>
          </w:p>
        </w:tc>
      </w:tr>
      <w:tr w:rsidR="00330C1B" w14:paraId="2C0BD9A6"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12CE518B" w14:textId="77777777" w:rsidR="00330C1B" w:rsidRDefault="00000000">
            <w:r>
              <w:rPr>
                <w:sz w:val="17"/>
              </w:rPr>
              <w:t>The operator</w:t>
            </w:r>
          </w:p>
        </w:tc>
        <w:tc>
          <w:tcPr>
            <w:tcW w:w="1728" w:type="dxa"/>
          </w:tcPr>
          <w:p w14:paraId="101B0B8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user</w:t>
            </w:r>
          </w:p>
        </w:tc>
        <w:tc>
          <w:tcPr>
            <w:tcW w:w="2880" w:type="dxa"/>
          </w:tcPr>
          <w:p w14:paraId="7895FF33"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Owner, User Access Administrator, Global Administrator</w:t>
            </w:r>
          </w:p>
        </w:tc>
        <w:tc>
          <w:tcPr>
            <w:tcW w:w="2736" w:type="dxa"/>
          </w:tcPr>
          <w:p w14:paraId="2D6C3A78"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Authorizing a commit, and every identity or role-grant change.</w:t>
            </w:r>
          </w:p>
        </w:tc>
      </w:tr>
    </w:tbl>
    <w:p w14:paraId="5DA976CA" w14:textId="77777777" w:rsidR="00330C1B" w:rsidRDefault="00000000">
      <w:r>
        <w:t>frontendUser holds one role. It cannot write a secret, cannot reach the pipeline cluster, and cannot change a role assignment. That is the whole of what a FindCare instance can do if it is taken over: read the secrets it was already given, and read and write the front-end data it already serves.</w:t>
      </w:r>
    </w:p>
    <w:p w14:paraId="493F1A25" w14:textId="77777777" w:rsidR="00330C1B" w:rsidRDefault="00000000">
      <w:pPr>
        <w:pStyle w:val="Heading2"/>
      </w:pPr>
      <w:r>
        <w:t>5.5 Secrets, and where each is read from</w:t>
      </w:r>
    </w:p>
    <w:p w14:paraId="14DAD376" w14:textId="77777777" w:rsidR="00330C1B" w:rsidRDefault="00000000">
      <w:r>
        <w:t>Nothing is read from a file in the repository and nothing is a literal in code. Each secret the FindCare target declares names its source, and the build resolves it by name; a name that does not resolve stops the build.</w:t>
      </w:r>
    </w:p>
    <w:tbl>
      <w:tblPr>
        <w:tblStyle w:val="LightGrid-Accent1"/>
        <w:tblW w:w="0" w:type="auto"/>
        <w:tblLook w:val="04A0" w:firstRow="1" w:lastRow="0" w:firstColumn="1" w:lastColumn="0" w:noHBand="0" w:noVBand="1"/>
      </w:tblPr>
      <w:tblGrid>
        <w:gridCol w:w="2854"/>
        <w:gridCol w:w="6002"/>
      </w:tblGrid>
      <w:tr w:rsidR="00330C1B" w14:paraId="5EC7B5AA" w14:textId="77777777" w:rsidTr="00330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9EF1D6D" w14:textId="77777777" w:rsidR="00330C1B" w:rsidRDefault="00000000">
            <w:r>
              <w:rPr>
                <w:sz w:val="18"/>
              </w:rPr>
              <w:t>Source</w:t>
            </w:r>
          </w:p>
        </w:tc>
        <w:tc>
          <w:tcPr>
            <w:tcW w:w="6336" w:type="dxa"/>
          </w:tcPr>
          <w:p w14:paraId="5548A3FB"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Secrets the FindCare target declares</w:t>
            </w:r>
          </w:p>
        </w:tc>
      </w:tr>
      <w:tr w:rsidR="00330C1B" w14:paraId="37624666"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E9120A9" w14:textId="77777777" w:rsidR="00330C1B" w:rsidRDefault="00000000">
            <w:r>
              <w:rPr>
                <w:sz w:val="17"/>
              </w:rPr>
              <w:t>azure_key_vault</w:t>
            </w:r>
          </w:p>
        </w:tc>
        <w:tc>
          <w:tcPr>
            <w:tcW w:w="6336" w:type="dxa"/>
          </w:tcPr>
          <w:p w14:paraId="109ECE7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FINDCARE_SIGNING_KEY_B64, API_TOKEN_MAP, ADMIN_UNLOCK_KEY, OPENAI_API_KEY, ANTHROPIC_API_KEY, GEMINI_API_KEY, GOOGLE_API_KEY, SPARKMAIL_API_KEY, HF_TOKEN, FRONTENDUSER_AZURE_CLIENT_SECRET, PIPELINEEDITOR_AZURE_CLIENT_SECRET</w:t>
            </w:r>
          </w:p>
        </w:tc>
      </w:tr>
      <w:tr w:rsidR="00330C1B" w14:paraId="661A7696"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0339B3C" w14:textId="77777777" w:rsidR="00330C1B" w:rsidRDefault="00000000">
            <w:r>
              <w:rPr>
                <w:sz w:val="17"/>
              </w:rPr>
              <w:t>local_env (workstation, at build time)</w:t>
            </w:r>
          </w:p>
        </w:tc>
        <w:tc>
          <w:tcPr>
            <w:tcW w:w="6336" w:type="dxa"/>
          </w:tcPr>
          <w:p w14:paraId="66D72104"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KEY_VAULT_URI, FRONTENDUSER_AZURE_TENANT_ID, FRONTENDUSER_AZURE_CLIENT_ID, NOTIFICATION_FROM_EMAIL, NOTIFICATION_TO_EMAIL</w:t>
            </w:r>
          </w:p>
        </w:tc>
      </w:tr>
    </w:tbl>
    <w:p w14:paraId="2044340F" w14:textId="77777777" w:rsidR="00330C1B" w:rsidRDefault="00000000">
      <w:r>
        <w:t>Two of these bear on FindCare's own security rather than on a third party. FINDCARE_SIGNING_KEY is how FindCare signs a token it issues; API_TOKEN_MAP is what the two administrative routes on the Space check a bearer against. The four service certificates — the authority, FindCare's own, SharedServices' and EvaluateCare's — are variables rather than secrets, because a certificate is public; only the signing key is not.</w:t>
      </w:r>
    </w:p>
    <w:p w14:paraId="738DD593" w14:textId="77777777" w:rsidR="00330C1B" w:rsidRDefault="00000000">
      <w:pPr>
        <w:ind w:left="432"/>
      </w:pPr>
      <w:r>
        <w:rPr>
          <w:b/>
          <w:color w:val="990000"/>
        </w:rPr>
        <w:t xml:space="preserve">Code contradicts this design: </w:t>
      </w:r>
      <w:r>
        <w:rPr>
          <w:color w:val="990000"/>
        </w:rPr>
        <w:t>The FindCare target declares PIPELINEEDITOR_AZURE_TENANT_ID, PIPELINEEDITOR_AZURE_CLIENT_ID and PIPELINEEDITOR_AZURE_CLIENT_SECRET. pipelineEditor is the pipeline identity and holds Automation Operator, AcrPull, Virtual Machine Contributor and Network Contributor. No FindCare runtime path uses it, and shipping its client secret to a public Space puts pipeline credentials on a front-end host for no runtime purpose.</w:t>
      </w:r>
    </w:p>
    <w:p w14:paraId="23475619" w14:textId="77777777" w:rsidR="00330C1B" w:rsidRDefault="00000000">
      <w:pPr>
        <w:ind w:left="432"/>
      </w:pPr>
      <w:r>
        <w:rPr>
          <w:b/>
          <w:color w:val="005500"/>
        </w:rPr>
        <w:t>Designed change C-18</w:t>
      </w:r>
      <w:r>
        <w:rPr>
          <w:color w:val="005500"/>
          <w:sz w:val="18"/>
        </w:rPr>
        <w:t xml:space="preserve">  (owner: EPIC-008-F-012 owns the target record)  </w:t>
      </w:r>
      <w:r>
        <w:rPr>
          <w:color w:val="005500"/>
        </w:rPr>
        <w:t>PIPELINEEDITOR_AZURE_TENANT_ID, PIPELINEEDITOR_AZURE_CLIENT_ID and PIPELINEEDITOR_AZURE_CLIENT_SECRET are removed from the secrets block of target_hf_space_findcare_backend in deployment_architecture.json, and from target_hf_space_shared_services, which declares the same three for the same absence of a runtime caller. The deploy then sets neither on the Space, and the existing values are deleted from the Space secrets rather than left behind — a secret that stops being deployed is not thereby removed from the target that already holds it. Because the client secret has been resident on a public Space, the pipelineEditor credential is rotated as part of the change.</w:t>
      </w:r>
    </w:p>
    <w:p w14:paraId="02BED3EE" w14:textId="77777777" w:rsidR="00330C1B" w:rsidRDefault="00000000">
      <w:pPr>
        <w:pStyle w:val="Heading2"/>
      </w:pPr>
      <w:r>
        <w:t>5.6 The session and its custody</w:t>
      </w:r>
    </w:p>
    <w:p w14:paraId="6DD4F294" w14:textId="77777777" w:rsidR="00330C1B" w:rsidRDefault="00000000">
      <w:r>
        <w:t>The session is the one thing FindCare holds that is about a person. Four properties of the design bear on it.</w:t>
      </w:r>
    </w:p>
    <w:p w14:paraId="1D6AFC8D" w14:textId="77777777" w:rsidR="00330C1B" w:rsidRDefault="00000000">
      <w:pPr>
        <w:pStyle w:val="ListBullet"/>
      </w:pPr>
      <w:r>
        <w:t>It is held server-side. The browser holds a token and a display cache; the parameters, the selections and the positions are in Users.sessions. A browser that is compromised yields a token, not a history.</w:t>
      </w:r>
    </w:p>
    <w:p w14:paraId="2C675D1A" w14:textId="77777777" w:rsidR="00330C1B" w:rsidRDefault="00000000">
      <w:pPr>
        <w:pStyle w:val="ListBullet"/>
      </w:pPr>
      <w:r>
        <w:t>The token is in memory and is threaded in the request body, never in a cookie. There is no ambient credential for another origin to cause a browser to send.</w:t>
      </w:r>
    </w:p>
    <w:p w14:paraId="146B8AE9" w14:textId="77777777" w:rsidR="00330C1B" w:rsidRDefault="00000000">
      <w:pPr>
        <w:pStyle w:val="ListBullet"/>
      </w:pPr>
      <w:r>
        <w:t>The complaint stored is the translation, not the utterance — the clinical concept the utterance manager resolved, not the person's words. The words stay in the conversation.</w:t>
      </w:r>
    </w:p>
    <w:p w14:paraId="7CBCC5A9" w14:textId="77777777" w:rsidR="00330C1B" w:rsidRDefault="00000000">
      <w:pPr>
        <w:pStyle w:val="ListBullet"/>
      </w:pPr>
      <w:r>
        <w:t>The session is reached only under frontendUser against the front-end cluster. There is no path from a session to the pipeline cluster and no identity on the FindCare target that could open one.</w:t>
      </w:r>
    </w:p>
    <w:p w14:paraId="70F7ED5C" w14:textId="77777777" w:rsidR="00330C1B" w:rsidRDefault="00000000">
      <w:pPr>
        <w:pStyle w:val="Heading2"/>
      </w:pPr>
      <w:r>
        <w:t>5.7 What the deployment permits that the design does not</w:t>
      </w:r>
    </w:p>
    <w:p w14:paraId="7259E41F" w14:textId="77777777" w:rsidR="00330C1B" w:rsidRDefault="00000000">
      <w:r>
        <w:t>Three facts about the running system, stated because a reader of this design would otherwise assume otherwise.</w:t>
      </w:r>
    </w:p>
    <w:p w14:paraId="7D916348" w14:textId="77777777" w:rsidR="00330C1B" w:rsidRDefault="00000000">
      <w:pPr>
        <w:pStyle w:val="ListBullet"/>
      </w:pPr>
      <w:r>
        <w:t>FindCare's domain routes are reachable from the public internet and verify nothing (§5.2).</w:t>
      </w:r>
    </w:p>
    <w:p w14:paraId="4D9AC242" w14:textId="77777777" w:rsidR="00330C1B" w:rsidRDefault="00000000">
      <w:pPr>
        <w:pStyle w:val="ListBullet"/>
      </w:pPr>
      <w:r>
        <w:t>The FindCare Space serves the React bundle and the wrapper loads it in an iframe, so the FindCare origin is a browser-addressable origin and not only a server-to-server one.</w:t>
      </w:r>
    </w:p>
    <w:p w14:paraId="451B369E" w14:textId="77777777" w:rsidR="00330C1B" w:rsidRDefault="00000000">
      <w:pPr>
        <w:pStyle w:val="ListBullet"/>
      </w:pPr>
      <w:r>
        <w:t>There is no gate on what is deployed: what is running in the Spaces, in Atlas and in the vault is not held to what the repository declares, in either direction (recorded as BUG-008). Every guarantee in this chapter rests on the deployed system matching the record, and nothing currently verifies that it does.</w:t>
      </w:r>
    </w:p>
    <w:p w14:paraId="400B20AB" w14:textId="77777777" w:rsidR="00330C1B" w:rsidRDefault="00000000">
      <w:pPr>
        <w:ind w:left="432"/>
      </w:pPr>
      <w:r>
        <w:rPr>
          <w:b/>
          <w:color w:val="005500"/>
        </w:rPr>
        <w:t>Designed change C-19</w:t>
      </w:r>
      <w:r>
        <w:rPr>
          <w:color w:val="005500"/>
          <w:sz w:val="18"/>
        </w:rPr>
        <w:t xml:space="preserve">  (owner: EPIC-008-F-012 owns it; BUG-008 records it)  </w:t>
      </w:r>
      <w:r>
        <w:rPr>
          <w:color w:val="005500"/>
        </w:rPr>
        <w:t xml:space="preserve">This one is not designed here, and the reason is specific rather than an omission. The other eighteen changes alter a component whose behaviour is decided; this one requires deciding what authorizes a deployment at all, given that the record a deployment is checked against is written by the same actor the record exists to constrain. BUG-008 states that question and does not answer it, and answering it is not FindCare's to do. What FindCare's design requires of EPIC-008-F-012 is stated instead: the deployed contents of a target match what the target record declares, in both directions, and a divergence is detected without a person having asked. No EPIC-006 </w:t>
      </w:r>
      <w:r>
        <w:rPr>
          <w:color w:val="005500"/>
        </w:rPr>
        <w:t>requirement rests on this, so no requirement of this epic is blocked by it; every guarantee in this chapter is conditional on it.</w:t>
      </w:r>
    </w:p>
    <w:p w14:paraId="05F10EBA" w14:textId="77777777" w:rsidR="00330C1B" w:rsidRDefault="00000000">
      <w:r>
        <w:br w:type="page"/>
      </w:r>
    </w:p>
    <w:p w14:paraId="0BCE9771" w14:textId="77777777" w:rsidR="00330C1B" w:rsidRDefault="00000000">
      <w:pPr>
        <w:pStyle w:val="Heading1"/>
      </w:pPr>
      <w:r>
        <w:t>6. Requirements traceability map</w:t>
      </w:r>
    </w:p>
    <w:p w14:paraId="0F94816D" w14:textId="77777777" w:rsidR="00330C1B" w:rsidRDefault="00000000">
      <w:r>
        <w:t>All 117 requirements of EPIC-006, by req_id. Each has exactly one of two outcomes: DESIGNED, citing the section that says how; or REQUEST REMOVAL, stating why it cannot be designed with the components that exist and what would have to exist instead. No requirement is out of scope.</w:t>
      </w:r>
    </w:p>
    <w:p w14:paraId="4F35EEFD" w14:textId="77777777" w:rsidR="00330C1B" w:rsidRDefault="00000000">
      <w:r>
        <w:rPr>
          <w:b/>
        </w:rPr>
        <w:t xml:space="preserve">Outcome: </w:t>
      </w:r>
      <w:r>
        <w:t>117 DESIGNED, 0 REQUEST REMOVAL, of 117.</w:t>
      </w:r>
    </w:p>
    <w:p w14:paraId="631E492F" w14:textId="77777777" w:rsidR="00330C1B" w:rsidRDefault="00000000">
      <w:r>
        <w:t>Every requirement is designable with components that already exist. Where a requirement is not met today, the missing thing is an implementation and not a component: the record already carries every facility field F-006 and F-007 name; the front-end cluster already holds a configuration database the runtime reads at startup, which is what makes the without-a-release clause of F-008 designable; the session is already one document, which is what makes the all-or-none clause designable; and the certificate that would let FindCare refuse a non-gateway request is already delivered to it as a variable. There is therefore no requirement in EPIC-006 whose satisfaction would require inventing a component, and no removal is requested.</w:t>
      </w:r>
    </w:p>
    <w:p w14:paraId="1BEA71C9" w14:textId="77777777" w:rsidR="00330C1B" w:rsidRDefault="00000000">
      <w:pPr>
        <w:pStyle w:val="Heading2"/>
      </w:pPr>
      <w:r>
        <w:t>6.1 Index of designed changes</w:t>
      </w:r>
    </w:p>
    <w:p w14:paraId="0C1BDA1B" w14:textId="77777777" w:rsidR="00330C1B" w:rsidRDefault="00000000">
      <w:r>
        <w:t>Twenty-four divergences between the code and the design are recorded in chapters 2 to 4. Twenty-three are closed by a designed change stated at the point the divergence arises. The remaining one, C-19, is not designed here: it requires deciding what authorizes a deployment at all, which is for EPIC-008-F-012 to decide and is the open question BUG-008 records. Twelve of the twenty-four change a component FindCare does not own, and each names the epic that does. Two of them, C-21 and C-22, are dispositions of model calls: BUG-003 records eleven sites bypassing the LLM facade, and of the nine model calls found in FindCare code, seven are reached by no requirement of this epic and are eliminated rather than routed.</w:t>
      </w:r>
    </w:p>
    <w:tbl>
      <w:tblPr>
        <w:tblStyle w:val="LightGrid-Accent1"/>
        <w:tblW w:w="0" w:type="auto"/>
        <w:tblLook w:val="04A0" w:firstRow="1" w:lastRow="0" w:firstColumn="1" w:lastColumn="0" w:noHBand="0" w:noVBand="1"/>
      </w:tblPr>
      <w:tblGrid>
        <w:gridCol w:w="986"/>
        <w:gridCol w:w="1247"/>
        <w:gridCol w:w="4588"/>
        <w:gridCol w:w="2035"/>
      </w:tblGrid>
      <w:tr w:rsidR="00330C1B" w14:paraId="55DA5050" w14:textId="77777777" w:rsidTr="00330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238AE61F" w14:textId="77777777" w:rsidR="00330C1B" w:rsidRDefault="00000000">
            <w:r>
              <w:rPr>
                <w:sz w:val="18"/>
              </w:rPr>
              <w:t>Change</w:t>
            </w:r>
          </w:p>
        </w:tc>
        <w:tc>
          <w:tcPr>
            <w:tcW w:w="1296" w:type="dxa"/>
          </w:tcPr>
          <w:p w14:paraId="22AB0277"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Section</w:t>
            </w:r>
          </w:p>
        </w:tc>
        <w:tc>
          <w:tcPr>
            <w:tcW w:w="4896" w:type="dxa"/>
          </w:tcPr>
          <w:p w14:paraId="158A427C"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What it changes</w:t>
            </w:r>
          </w:p>
        </w:tc>
        <w:tc>
          <w:tcPr>
            <w:tcW w:w="2160" w:type="dxa"/>
          </w:tcPr>
          <w:p w14:paraId="74254BD0"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Owning epic</w:t>
            </w:r>
          </w:p>
        </w:tc>
      </w:tr>
      <w:tr w:rsidR="00330C1B" w14:paraId="4C730918"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334800AE" w14:textId="77777777" w:rsidR="00330C1B" w:rsidRDefault="00000000">
            <w:r>
              <w:rPr>
                <w:sz w:val="17"/>
              </w:rPr>
              <w:t>C-01</w:t>
            </w:r>
          </w:p>
        </w:tc>
        <w:tc>
          <w:tcPr>
            <w:tcW w:w="1296" w:type="dxa"/>
          </w:tcPr>
          <w:p w14:paraId="6C4ED11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§1.3</w:t>
            </w:r>
          </w:p>
        </w:tc>
        <w:tc>
          <w:tcPr>
            <w:tcW w:w="4896" w:type="dxa"/>
          </w:tcPr>
          <w:p w14:paraId="26B8ADA3"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Deletes the dead vector-search path from the provider service.</w:t>
            </w:r>
          </w:p>
        </w:tc>
        <w:tc>
          <w:tcPr>
            <w:tcW w:w="2160" w:type="dxa"/>
          </w:tcPr>
          <w:p w14:paraId="15E9FBF1"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EPIC-006</w:t>
            </w:r>
          </w:p>
        </w:tc>
      </w:tr>
      <w:tr w:rsidR="00330C1B" w14:paraId="787C92F1"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430AE90" w14:textId="77777777" w:rsidR="00330C1B" w:rsidRDefault="00000000">
            <w:r>
              <w:rPr>
                <w:sz w:val="17"/>
              </w:rPr>
              <w:t>C-02</w:t>
            </w:r>
          </w:p>
        </w:tc>
        <w:tc>
          <w:tcPr>
            <w:tcW w:w="1296" w:type="dxa"/>
          </w:tcPr>
          <w:p w14:paraId="0AA5CA25"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§3.2.3</w:t>
            </w:r>
          </w:p>
        </w:tc>
        <w:tc>
          <w:tcPr>
            <w:tcW w:w="4896" w:type="dxa"/>
          </w:tcPr>
          <w:p w14:paraId="15489C6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Moves the chosen-specialty label to the server projection.</w:t>
            </w:r>
          </w:p>
        </w:tc>
        <w:tc>
          <w:tcPr>
            <w:tcW w:w="2160" w:type="dxa"/>
          </w:tcPr>
          <w:p w14:paraId="1DA5B0CE"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EPIC-006</w:t>
            </w:r>
          </w:p>
        </w:tc>
      </w:tr>
      <w:tr w:rsidR="00330C1B" w14:paraId="03615E60"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5E1E2C06" w14:textId="77777777" w:rsidR="00330C1B" w:rsidRDefault="00000000">
            <w:r>
              <w:rPr>
                <w:sz w:val="17"/>
              </w:rPr>
              <w:t>C-03</w:t>
            </w:r>
          </w:p>
        </w:tc>
        <w:tc>
          <w:tcPr>
            <w:tcW w:w="1296" w:type="dxa"/>
          </w:tcPr>
          <w:p w14:paraId="468BC16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§3.2.5</w:t>
            </w:r>
          </w:p>
        </w:tc>
        <w:tc>
          <w:tcPr>
            <w:tcW w:w="4896" w:type="dxa"/>
          </w:tcPr>
          <w:p w14:paraId="7A87D42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Adds the excluded flag to the selection response; deletes the second selection model.</w:t>
            </w:r>
          </w:p>
        </w:tc>
        <w:tc>
          <w:tcPr>
            <w:tcW w:w="2160" w:type="dxa"/>
          </w:tcPr>
          <w:p w14:paraId="47E3A5ED"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EPIC-006</w:t>
            </w:r>
          </w:p>
        </w:tc>
      </w:tr>
      <w:tr w:rsidR="00330C1B" w14:paraId="4DD41FEB"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496E4438" w14:textId="77777777" w:rsidR="00330C1B" w:rsidRDefault="00000000">
            <w:r>
              <w:rPr>
                <w:sz w:val="17"/>
              </w:rPr>
              <w:t>C-04</w:t>
            </w:r>
          </w:p>
        </w:tc>
        <w:tc>
          <w:tcPr>
            <w:tcW w:w="1296" w:type="dxa"/>
          </w:tcPr>
          <w:p w14:paraId="263BECCA"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§3.2.6</w:t>
            </w:r>
          </w:p>
        </w:tc>
        <w:tc>
          <w:tcPr>
            <w:tcW w:w="4896" w:type="dxa"/>
          </w:tcPr>
          <w:p w14:paraId="63F7D00E"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Gates the postal-code offer on the geography, as the other two dimensions are.</w:t>
            </w:r>
          </w:p>
        </w:tc>
        <w:tc>
          <w:tcPr>
            <w:tcW w:w="2160" w:type="dxa"/>
          </w:tcPr>
          <w:p w14:paraId="34F59EA6"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EPIC-006</w:t>
            </w:r>
          </w:p>
        </w:tc>
      </w:tr>
      <w:tr w:rsidR="00330C1B" w14:paraId="174EFA6A"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5DD95D80" w14:textId="77777777" w:rsidR="00330C1B" w:rsidRDefault="00000000">
            <w:r>
              <w:rPr>
                <w:sz w:val="17"/>
              </w:rPr>
              <w:t>C-05</w:t>
            </w:r>
          </w:p>
        </w:tc>
        <w:tc>
          <w:tcPr>
            <w:tcW w:w="1296" w:type="dxa"/>
          </w:tcPr>
          <w:p w14:paraId="76E4DD4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§3.2.6</w:t>
            </w:r>
          </w:p>
        </w:tc>
        <w:tc>
          <w:tcPr>
            <w:tcW w:w="4896" w:type="dxa"/>
          </w:tcPr>
          <w:p w14:paraId="4508D3B7"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Carries summary_message through the tool and the router to the client.</w:t>
            </w:r>
          </w:p>
        </w:tc>
        <w:tc>
          <w:tcPr>
            <w:tcW w:w="2160" w:type="dxa"/>
          </w:tcPr>
          <w:p w14:paraId="7EAEE9DF"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EPIC-002-F-004</w:t>
            </w:r>
          </w:p>
        </w:tc>
      </w:tr>
      <w:tr w:rsidR="00330C1B" w14:paraId="319A4E26"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4BE96549" w14:textId="77777777" w:rsidR="00330C1B" w:rsidRDefault="00000000">
            <w:r>
              <w:rPr>
                <w:sz w:val="17"/>
              </w:rPr>
              <w:t>C-06</w:t>
            </w:r>
          </w:p>
        </w:tc>
        <w:tc>
          <w:tcPr>
            <w:tcW w:w="1296" w:type="dxa"/>
          </w:tcPr>
          <w:p w14:paraId="53DF84E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§3.3.1</w:t>
            </w:r>
          </w:p>
        </w:tc>
        <w:tc>
          <w:tcPr>
            <w:tcW w:w="4896" w:type="dxa"/>
          </w:tcPr>
          <w:p w14:paraId="40F959AB"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Four fields per payer row; the section stops being labelled as insurance.</w:t>
            </w:r>
          </w:p>
        </w:tc>
        <w:tc>
          <w:tcPr>
            <w:tcW w:w="2160" w:type="dxa"/>
          </w:tcPr>
          <w:p w14:paraId="38F1DC39"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EPIC-006</w:t>
            </w:r>
          </w:p>
        </w:tc>
      </w:tr>
      <w:tr w:rsidR="00330C1B" w14:paraId="5ABEF99B"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07B4E0AC" w14:textId="77777777" w:rsidR="00330C1B" w:rsidRDefault="00000000">
            <w:r>
              <w:rPr>
                <w:sz w:val="17"/>
              </w:rPr>
              <w:t>C-07</w:t>
            </w:r>
          </w:p>
        </w:tc>
        <w:tc>
          <w:tcPr>
            <w:tcW w:w="1296" w:type="dxa"/>
          </w:tcPr>
          <w:p w14:paraId="411BEA4B"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§3.3.1</w:t>
            </w:r>
          </w:p>
        </w:tc>
        <w:tc>
          <w:tcPr>
            <w:tcW w:w="4896" w:type="dxa"/>
          </w:tcPr>
          <w:p w14:paraId="66F827D8"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Renders county and urban standing per practice address.</w:t>
            </w:r>
          </w:p>
        </w:tc>
        <w:tc>
          <w:tcPr>
            <w:tcW w:w="2160" w:type="dxa"/>
          </w:tcPr>
          <w:p w14:paraId="591D793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EPIC-006</w:t>
            </w:r>
          </w:p>
        </w:tc>
      </w:tr>
      <w:tr w:rsidR="00330C1B" w14:paraId="30181810"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6B7AA0F9" w14:textId="77777777" w:rsidR="00330C1B" w:rsidRDefault="00000000">
            <w:r>
              <w:rPr>
                <w:sz w:val="17"/>
              </w:rPr>
              <w:t>C-08</w:t>
            </w:r>
          </w:p>
        </w:tc>
        <w:tc>
          <w:tcPr>
            <w:tcW w:w="1296" w:type="dxa"/>
          </w:tcPr>
          <w:p w14:paraId="5A7E5F5A"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§3.3.1</w:t>
            </w:r>
          </w:p>
        </w:tc>
        <w:tc>
          <w:tcPr>
            <w:tcW w:w="4896" w:type="dxa"/>
          </w:tcPr>
          <w:p w14:paraId="3D1CD2F1"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Completes STATE_BOARDS to 56 jurisdictions; surfaces an unresolved state.</w:t>
            </w:r>
          </w:p>
        </w:tc>
        <w:tc>
          <w:tcPr>
            <w:tcW w:w="2160" w:type="dxa"/>
          </w:tcPr>
          <w:p w14:paraId="15D539D3"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EPIC-006</w:t>
            </w:r>
          </w:p>
        </w:tc>
      </w:tr>
      <w:tr w:rsidR="00330C1B" w14:paraId="2C8BDB6A"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275FF16F" w14:textId="77777777" w:rsidR="00330C1B" w:rsidRDefault="00000000">
            <w:r>
              <w:rPr>
                <w:sz w:val="17"/>
              </w:rPr>
              <w:t>C-09</w:t>
            </w:r>
          </w:p>
        </w:tc>
        <w:tc>
          <w:tcPr>
            <w:tcW w:w="1296" w:type="dxa"/>
          </w:tcPr>
          <w:p w14:paraId="26BDFE13"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§3.5</w:t>
            </w:r>
          </w:p>
        </w:tc>
        <w:tc>
          <w:tcPr>
            <w:tcW w:w="4896" w:type="dxa"/>
          </w:tcPr>
          <w:p w14:paraId="61C8F511"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Removes the 150-trial cap; pages the registry; counts what it filtered.</w:t>
            </w:r>
          </w:p>
        </w:tc>
        <w:tc>
          <w:tcPr>
            <w:tcW w:w="2160" w:type="dxa"/>
          </w:tcPr>
          <w:p w14:paraId="756E8908"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EPIC-006</w:t>
            </w:r>
          </w:p>
        </w:tc>
      </w:tr>
      <w:tr w:rsidR="00330C1B" w14:paraId="532F1DC2"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0C6D2D61" w14:textId="77777777" w:rsidR="00330C1B" w:rsidRDefault="00000000">
            <w:r>
              <w:rPr>
                <w:sz w:val="17"/>
              </w:rPr>
              <w:t>C-10</w:t>
            </w:r>
          </w:p>
        </w:tc>
        <w:tc>
          <w:tcPr>
            <w:tcW w:w="1296" w:type="dxa"/>
          </w:tcPr>
          <w:p w14:paraId="53729AB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§3.5.1</w:t>
            </w:r>
          </w:p>
        </w:tc>
        <w:tc>
          <w:tcPr>
            <w:tcW w:w="4896" w:type="dxa"/>
          </w:tcPr>
          <w:p w14:paraId="6EA6F67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Removes the two criteria that narrow nothing.</w:t>
            </w:r>
          </w:p>
        </w:tc>
        <w:tc>
          <w:tcPr>
            <w:tcW w:w="2160" w:type="dxa"/>
          </w:tcPr>
          <w:p w14:paraId="164AEB3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EPIC-006</w:t>
            </w:r>
          </w:p>
        </w:tc>
      </w:tr>
      <w:tr w:rsidR="00330C1B" w14:paraId="2D5C78F8"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519587D2" w14:textId="77777777" w:rsidR="00330C1B" w:rsidRDefault="00000000">
            <w:r>
              <w:rPr>
                <w:sz w:val="17"/>
              </w:rPr>
              <w:t>C-11</w:t>
            </w:r>
          </w:p>
        </w:tc>
        <w:tc>
          <w:tcPr>
            <w:tcW w:w="1296" w:type="dxa"/>
          </w:tcPr>
          <w:p w14:paraId="70887627"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§3.5.1</w:t>
            </w:r>
          </w:p>
        </w:tc>
        <w:tc>
          <w:tcPr>
            <w:tcW w:w="4896" w:type="dxa"/>
          </w:tcPr>
          <w:p w14:paraId="3E29A177"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Renders the trial failure, named at the point it is raised.</w:t>
            </w:r>
          </w:p>
        </w:tc>
        <w:tc>
          <w:tcPr>
            <w:tcW w:w="2160" w:type="dxa"/>
          </w:tcPr>
          <w:p w14:paraId="5E243044"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EPIC-006</w:t>
            </w:r>
          </w:p>
        </w:tc>
      </w:tr>
      <w:tr w:rsidR="00330C1B" w14:paraId="6B0DFEA7"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4F999AE2" w14:textId="77777777" w:rsidR="00330C1B" w:rsidRDefault="00000000">
            <w:r>
              <w:rPr>
                <w:sz w:val="17"/>
              </w:rPr>
              <w:t>C-12</w:t>
            </w:r>
          </w:p>
        </w:tc>
        <w:tc>
          <w:tcPr>
            <w:tcW w:w="1296" w:type="dxa"/>
          </w:tcPr>
          <w:p w14:paraId="52D7B34E"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§3.7.5</w:t>
            </w:r>
          </w:p>
        </w:tc>
        <w:tc>
          <w:tcPr>
            <w:tcW w:w="4896" w:type="dxa"/>
          </w:tcPr>
          <w:p w14:paraId="3806A40F"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Removes the two tax identifiers from the library field partition.</w:t>
            </w:r>
          </w:p>
        </w:tc>
        <w:tc>
          <w:tcPr>
            <w:tcW w:w="2160" w:type="dxa"/>
          </w:tcPr>
          <w:p w14:paraId="71D09C6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EPIC-003 / EPIC-010</w:t>
            </w:r>
          </w:p>
        </w:tc>
      </w:tr>
      <w:tr w:rsidR="00330C1B" w14:paraId="3222594B"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12EF2CA7" w14:textId="77777777" w:rsidR="00330C1B" w:rsidRDefault="00000000">
            <w:r>
              <w:rPr>
                <w:sz w:val="17"/>
              </w:rPr>
              <w:t>C-13</w:t>
            </w:r>
          </w:p>
        </w:tc>
        <w:tc>
          <w:tcPr>
            <w:tcW w:w="1296" w:type="dxa"/>
          </w:tcPr>
          <w:p w14:paraId="7C90D05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§3.8, §3.8.8</w:t>
            </w:r>
          </w:p>
        </w:tc>
        <w:tc>
          <w:tcPr>
            <w:tcW w:w="4896" w:type="dxa"/>
          </w:tcPr>
          <w:p w14:paraId="5A968DD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Replaces the flat parameter model: class, declaration, tool, carry-over, migration.</w:t>
            </w:r>
          </w:p>
        </w:tc>
        <w:tc>
          <w:tcPr>
            <w:tcW w:w="2160" w:type="dxa"/>
          </w:tcPr>
          <w:p w14:paraId="5CCCA6A8"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EPIC-003 / EPIC-002-F-004 / F-010</w:t>
            </w:r>
          </w:p>
        </w:tc>
      </w:tr>
      <w:tr w:rsidR="00330C1B" w14:paraId="7B9BB6EE"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6AC8590D" w14:textId="77777777" w:rsidR="00330C1B" w:rsidRDefault="00000000">
            <w:r>
              <w:rPr>
                <w:sz w:val="17"/>
              </w:rPr>
              <w:t>C-14</w:t>
            </w:r>
          </w:p>
        </w:tc>
        <w:tc>
          <w:tcPr>
            <w:tcW w:w="1296" w:type="dxa"/>
          </w:tcPr>
          <w:p w14:paraId="230D3A84"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§3.8.4</w:t>
            </w:r>
          </w:p>
        </w:tc>
        <w:tc>
          <w:tcPr>
            <w:tcW w:w="4896" w:type="dxa"/>
          </w:tcPr>
          <w:p w14:paraId="4D8A97EB"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Adds the route to the parameter request and to the stored entry.</w:t>
            </w:r>
          </w:p>
        </w:tc>
        <w:tc>
          <w:tcPr>
            <w:tcW w:w="2160" w:type="dxa"/>
          </w:tcPr>
          <w:p w14:paraId="58F2F48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EPIC-002-F-004</w:t>
            </w:r>
          </w:p>
        </w:tc>
      </w:tr>
      <w:tr w:rsidR="00330C1B" w14:paraId="598561A8"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1FC5CB23" w14:textId="77777777" w:rsidR="00330C1B" w:rsidRDefault="00000000">
            <w:r>
              <w:rPr>
                <w:sz w:val="17"/>
              </w:rPr>
              <w:t>C-15</w:t>
            </w:r>
          </w:p>
        </w:tc>
        <w:tc>
          <w:tcPr>
            <w:tcW w:w="1296" w:type="dxa"/>
          </w:tcPr>
          <w:p w14:paraId="020ECF2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§3.8.6</w:t>
            </w:r>
          </w:p>
        </w:tc>
        <w:tc>
          <w:tcPr>
            <w:tcW w:w="4896" w:type="dxa"/>
          </w:tcPr>
          <w:p w14:paraId="0D2E42BF"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Bidirectional keyset paging on every FindCare list.</w:t>
            </w:r>
          </w:p>
        </w:tc>
        <w:tc>
          <w:tcPr>
            <w:tcW w:w="2160" w:type="dxa"/>
          </w:tcPr>
          <w:p w14:paraId="42C34D9D"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EPIC-006 / EPIC-002-F-004</w:t>
            </w:r>
          </w:p>
        </w:tc>
      </w:tr>
      <w:tr w:rsidR="00330C1B" w14:paraId="2E59286A"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6D004E95" w14:textId="77777777" w:rsidR="00330C1B" w:rsidRDefault="00000000">
            <w:r>
              <w:rPr>
                <w:sz w:val="17"/>
              </w:rPr>
              <w:t>C-16</w:t>
            </w:r>
          </w:p>
        </w:tc>
        <w:tc>
          <w:tcPr>
            <w:tcW w:w="1296" w:type="dxa"/>
          </w:tcPr>
          <w:p w14:paraId="3FD3A131"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§4.2</w:t>
            </w:r>
          </w:p>
        </w:tc>
        <w:tc>
          <w:tcPr>
            <w:tcW w:w="4896" w:type="dxa"/>
          </w:tcPr>
          <w:p w14:paraId="34DBA068"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Build stages the declared file list rather than walking subtrees.</w:t>
            </w:r>
          </w:p>
        </w:tc>
        <w:tc>
          <w:tcPr>
            <w:tcW w:w="2160" w:type="dxa"/>
          </w:tcPr>
          <w:p w14:paraId="68A573D2"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EPIC-008-F-012</w:t>
            </w:r>
          </w:p>
        </w:tc>
      </w:tr>
      <w:tr w:rsidR="00330C1B" w14:paraId="5B37C578"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2D703E47" w14:textId="77777777" w:rsidR="00330C1B" w:rsidRDefault="00000000">
            <w:r>
              <w:rPr>
                <w:sz w:val="17"/>
              </w:rPr>
              <w:t>C-17</w:t>
            </w:r>
          </w:p>
        </w:tc>
        <w:tc>
          <w:tcPr>
            <w:tcW w:w="1296" w:type="dxa"/>
          </w:tcPr>
          <w:p w14:paraId="4612067B"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§5.2</w:t>
            </w:r>
          </w:p>
        </w:tc>
        <w:tc>
          <w:tcPr>
            <w:tcW w:w="4896" w:type="dxa"/>
          </w:tcPr>
          <w:p w14:paraId="3C8F6A9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Four routes verify a SharedServices signature; the bundle leaves the FindCare Space.</w:t>
            </w:r>
          </w:p>
        </w:tc>
        <w:tc>
          <w:tcPr>
            <w:tcW w:w="2160" w:type="dxa"/>
          </w:tcPr>
          <w:p w14:paraId="64F9B8E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EPIC-006 / EPIC-008-F-012</w:t>
            </w:r>
          </w:p>
        </w:tc>
      </w:tr>
      <w:tr w:rsidR="00330C1B" w14:paraId="318BD9A0"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059F6BFB" w14:textId="77777777" w:rsidR="00330C1B" w:rsidRDefault="00000000">
            <w:r>
              <w:rPr>
                <w:sz w:val="17"/>
              </w:rPr>
              <w:t>C-18</w:t>
            </w:r>
          </w:p>
        </w:tc>
        <w:tc>
          <w:tcPr>
            <w:tcW w:w="1296" w:type="dxa"/>
          </w:tcPr>
          <w:p w14:paraId="4FFE386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§5.5</w:t>
            </w:r>
          </w:p>
        </w:tc>
        <w:tc>
          <w:tcPr>
            <w:tcW w:w="4896" w:type="dxa"/>
          </w:tcPr>
          <w:p w14:paraId="66C788EF"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Removes and rotates the pipeline credentials shipped to two front-end Spaces.</w:t>
            </w:r>
          </w:p>
        </w:tc>
        <w:tc>
          <w:tcPr>
            <w:tcW w:w="2160" w:type="dxa"/>
          </w:tcPr>
          <w:p w14:paraId="0FDD22C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EPIC-008-F-012</w:t>
            </w:r>
          </w:p>
        </w:tc>
      </w:tr>
      <w:tr w:rsidR="00330C1B" w14:paraId="60591BCC"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5D28A4D7" w14:textId="77777777" w:rsidR="00330C1B" w:rsidRDefault="00000000">
            <w:r>
              <w:rPr>
                <w:sz w:val="17"/>
              </w:rPr>
              <w:t>C-19</w:t>
            </w:r>
          </w:p>
        </w:tc>
        <w:tc>
          <w:tcPr>
            <w:tcW w:w="1296" w:type="dxa"/>
          </w:tcPr>
          <w:p w14:paraId="7B48C483"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§5.7</w:t>
            </w:r>
          </w:p>
        </w:tc>
        <w:tc>
          <w:tcPr>
            <w:tcW w:w="4896" w:type="dxa"/>
          </w:tcPr>
          <w:p w14:paraId="31A7D1D2"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Stated, not designed: what authorizes a deployment. BUG-008.</w:t>
            </w:r>
          </w:p>
        </w:tc>
        <w:tc>
          <w:tcPr>
            <w:tcW w:w="2160" w:type="dxa"/>
          </w:tcPr>
          <w:p w14:paraId="0E29456D"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EPIC-008-F-012</w:t>
            </w:r>
          </w:p>
        </w:tc>
      </w:tr>
      <w:tr w:rsidR="00330C1B" w14:paraId="0C1BEF52"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558C3999" w14:textId="77777777" w:rsidR="00330C1B" w:rsidRDefault="00000000">
            <w:r>
              <w:rPr>
                <w:sz w:val="17"/>
              </w:rPr>
              <w:t>C-20</w:t>
            </w:r>
          </w:p>
        </w:tc>
        <w:tc>
          <w:tcPr>
            <w:tcW w:w="1296" w:type="dxa"/>
          </w:tcPr>
          <w:p w14:paraId="7F8A9046"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§3.7.1</w:t>
            </w:r>
          </w:p>
        </w:tc>
        <w:tc>
          <w:tcPr>
            <w:tcW w:w="4896" w:type="dxa"/>
          </w:tcPr>
          <w:p w14:paraId="01CDCAA4"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Entity type becomes the caller to determine; the guard keeps its force in both directions.</w:t>
            </w:r>
          </w:p>
        </w:tc>
        <w:tc>
          <w:tcPr>
            <w:tcW w:w="2160" w:type="dxa"/>
          </w:tcPr>
          <w:p w14:paraId="4EE396C5"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EPIC-006</w:t>
            </w:r>
          </w:p>
        </w:tc>
      </w:tr>
      <w:tr w:rsidR="00330C1B" w14:paraId="78CB0B34"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26B8C88D" w14:textId="77777777" w:rsidR="00330C1B" w:rsidRDefault="00000000">
            <w:r>
              <w:rPr>
                <w:sz w:val="17"/>
              </w:rPr>
              <w:t>C-21</w:t>
            </w:r>
          </w:p>
        </w:tc>
        <w:tc>
          <w:tcPr>
            <w:tcW w:w="1296" w:type="dxa"/>
          </w:tcPr>
          <w:p w14:paraId="19F27FB3"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§3.10</w:t>
            </w:r>
          </w:p>
        </w:tc>
        <w:tc>
          <w:tcPr>
            <w:tcW w:w="4896" w:type="dxa"/>
          </w:tcPr>
          <w:p w14:paraId="0719AB88"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three surviving model calls route through the facade; the facade gains an embeddings entry point (C-21a); the one embedding model is declared once for the firm and bound to every target that embeds (C-21b); the call sites stop inventing failure handling (C-21c).</w:t>
            </w:r>
          </w:p>
        </w:tc>
        <w:tc>
          <w:tcPr>
            <w:tcW w:w="2160" w:type="dxa"/>
          </w:tcPr>
          <w:p w14:paraId="7ED6280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EPIC-003 / EPIC-006 / EPIC-008-F-012 / EPIC-010</w:t>
            </w:r>
          </w:p>
        </w:tc>
      </w:tr>
      <w:tr w:rsidR="00330C1B" w14:paraId="31D330DB"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2079C899" w14:textId="77777777" w:rsidR="00330C1B" w:rsidRDefault="00000000">
            <w:r>
              <w:rPr>
                <w:sz w:val="17"/>
              </w:rPr>
              <w:t>C-22</w:t>
            </w:r>
          </w:p>
        </w:tc>
        <w:tc>
          <w:tcPr>
            <w:tcW w:w="1296" w:type="dxa"/>
          </w:tcPr>
          <w:p w14:paraId="7B114F0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§3.10</w:t>
            </w:r>
          </w:p>
        </w:tc>
        <w:tc>
          <w:tcPr>
            <w:tcW w:w="4896" w:type="dxa"/>
          </w:tcPr>
          <w:p w14:paraId="62128BC6"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Seven model calls no requirement reaches are eliminated, with their files, prompt records and manifest entries; the person's own search phrase comes from the utterance manager instead of a second model call (C-22a).</w:t>
            </w:r>
          </w:p>
        </w:tc>
        <w:tc>
          <w:tcPr>
            <w:tcW w:w="2160" w:type="dxa"/>
          </w:tcPr>
          <w:p w14:paraId="7C89140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EPIC-006 / EPIC-002-F-010</w:t>
            </w:r>
          </w:p>
        </w:tc>
      </w:tr>
      <w:tr w:rsidR="00330C1B" w14:paraId="41385DBB"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0E061E66" w14:textId="77777777" w:rsidR="00330C1B" w:rsidRDefault="00000000">
            <w:r>
              <w:rPr>
                <w:sz w:val="17"/>
              </w:rPr>
              <w:t>C-23</w:t>
            </w:r>
          </w:p>
        </w:tc>
        <w:tc>
          <w:tcPr>
            <w:tcW w:w="1296" w:type="dxa"/>
          </w:tcPr>
          <w:p w14:paraId="1BC8E48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§4.9</w:t>
            </w:r>
          </w:p>
        </w:tc>
        <w:tc>
          <w:tcPr>
            <w:tcW w:w="4896" w:type="dxa"/>
          </w:tcPr>
          <w:p w14:paraId="04F4E997"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build refuses a target that does not carry every binding its declared code reads. One derivation over every target; conditional on C-16 (C-23a).</w:t>
            </w:r>
          </w:p>
        </w:tc>
        <w:tc>
          <w:tcPr>
            <w:tcW w:w="2160" w:type="dxa"/>
          </w:tcPr>
          <w:p w14:paraId="42B1FCB4"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EPIC-008-F-012</w:t>
            </w:r>
          </w:p>
        </w:tc>
      </w:tr>
      <w:tr w:rsidR="00330C1B" w14:paraId="31983880"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2A70AEB2" w14:textId="77777777" w:rsidR="00330C1B" w:rsidRDefault="00000000">
            <w:r>
              <w:rPr>
                <w:sz w:val="17"/>
              </w:rPr>
              <w:t>C-24</w:t>
            </w:r>
          </w:p>
        </w:tc>
        <w:tc>
          <w:tcPr>
            <w:tcW w:w="1296" w:type="dxa"/>
          </w:tcPr>
          <w:p w14:paraId="3FEA9B63"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§4.9</w:t>
            </w:r>
          </w:p>
        </w:tc>
        <w:tc>
          <w:tcPr>
            <w:tcW w:w="4896" w:type="dxa"/>
          </w:tcPr>
          <w:p w14:paraId="2657EBB3"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deploy resolves every declared binding individually by name and installs nothing if one will not resolve; the pipeline embed files are declared and bound (C-24a).</w:t>
            </w:r>
          </w:p>
        </w:tc>
        <w:tc>
          <w:tcPr>
            <w:tcW w:w="2160" w:type="dxa"/>
          </w:tcPr>
          <w:p w14:paraId="15F9F77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EPIC-008-F-012 / EPIC-010</w:t>
            </w:r>
          </w:p>
        </w:tc>
      </w:tr>
    </w:tbl>
    <w:p w14:paraId="37BC41EB" w14:textId="77777777" w:rsidR="00330C1B" w:rsidRDefault="00000000">
      <w:pPr>
        <w:pStyle w:val="Heading2"/>
      </w:pPr>
      <w:r>
        <w:t>6.2 The map</w:t>
      </w:r>
    </w:p>
    <w:p w14:paraId="4C39AFC8" w14:textId="77777777" w:rsidR="00330C1B" w:rsidRDefault="00000000">
      <w:pPr>
        <w:pStyle w:val="Heading3"/>
      </w:pPr>
      <w:r>
        <w:t>EPIC-006-F-001 — 16 requirements</w:t>
      </w:r>
    </w:p>
    <w:tbl>
      <w:tblPr>
        <w:tblStyle w:val="LightGrid-Accent1"/>
        <w:tblW w:w="0" w:type="auto"/>
        <w:tblLook w:val="04A0" w:firstRow="1" w:lastRow="0" w:firstColumn="1" w:lastColumn="0" w:noHBand="0" w:noVBand="1"/>
      </w:tblPr>
      <w:tblGrid>
        <w:gridCol w:w="1473"/>
        <w:gridCol w:w="935"/>
        <w:gridCol w:w="1042"/>
        <w:gridCol w:w="1035"/>
        <w:gridCol w:w="4371"/>
      </w:tblGrid>
      <w:tr w:rsidR="00330C1B" w14:paraId="1DC2AEC4" w14:textId="77777777" w:rsidTr="00330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5C197C92" w14:textId="77777777" w:rsidR="00330C1B" w:rsidRDefault="00000000">
            <w:r>
              <w:rPr>
                <w:sz w:val="18"/>
              </w:rPr>
              <w:t>Requirement</w:t>
            </w:r>
          </w:p>
        </w:tc>
        <w:tc>
          <w:tcPr>
            <w:tcW w:w="936" w:type="dxa"/>
          </w:tcPr>
          <w:p w14:paraId="58CCE2FA"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Outcome</w:t>
            </w:r>
          </w:p>
        </w:tc>
        <w:tc>
          <w:tcPr>
            <w:tcW w:w="1080" w:type="dxa"/>
          </w:tcPr>
          <w:p w14:paraId="472C66EA"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Section</w:t>
            </w:r>
          </w:p>
        </w:tc>
        <w:tc>
          <w:tcPr>
            <w:tcW w:w="1080" w:type="dxa"/>
          </w:tcPr>
          <w:p w14:paraId="0D74ED89"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Closed by</w:t>
            </w:r>
          </w:p>
        </w:tc>
        <w:tc>
          <w:tcPr>
            <w:tcW w:w="4752" w:type="dxa"/>
          </w:tcPr>
          <w:p w14:paraId="59C96208"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How the design meets it</w:t>
            </w:r>
          </w:p>
        </w:tc>
      </w:tr>
      <w:tr w:rsidR="00330C1B" w14:paraId="0237D16E"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50B75138" w14:textId="77777777" w:rsidR="00330C1B" w:rsidRDefault="00000000">
            <w:r>
              <w:rPr>
                <w:sz w:val="17"/>
              </w:rPr>
              <w:t>F-001-S-001-REQ-B-001</w:t>
            </w:r>
          </w:p>
        </w:tc>
        <w:tc>
          <w:tcPr>
            <w:tcW w:w="936" w:type="dxa"/>
          </w:tcPr>
          <w:p w14:paraId="23B3BE24"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41923B07"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§3.2.1</w:t>
            </w:r>
          </w:p>
        </w:tc>
        <w:tc>
          <w:tcPr>
            <w:tcW w:w="1080" w:type="dxa"/>
          </w:tcPr>
          <w:p w14:paraId="21EF4E1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4752" w:type="dxa"/>
          </w:tcPr>
          <w:p w14:paraId="74948ED1"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utterance manager classifies free text; the complaint it extracts drives the specialty filter and then the query.</w:t>
            </w:r>
          </w:p>
        </w:tc>
      </w:tr>
      <w:tr w:rsidR="00330C1B" w14:paraId="7BFD42EA"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26A12D9" w14:textId="77777777" w:rsidR="00330C1B" w:rsidRDefault="00000000">
            <w:r>
              <w:rPr>
                <w:sz w:val="17"/>
              </w:rPr>
              <w:t>F-001-S-001-REQ-B-002</w:t>
            </w:r>
          </w:p>
        </w:tc>
        <w:tc>
          <w:tcPr>
            <w:tcW w:w="936" w:type="dxa"/>
          </w:tcPr>
          <w:p w14:paraId="2A61D6EB"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067EB5D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§3.2.2</w:t>
            </w:r>
          </w:p>
        </w:tc>
        <w:tc>
          <w:tcPr>
            <w:tcW w:w="1080" w:type="dxa"/>
          </w:tcPr>
          <w:p w14:paraId="4611A821"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w:t>
            </w:r>
          </w:p>
        </w:tc>
        <w:tc>
          <w:tcPr>
            <w:tcW w:w="4752" w:type="dxa"/>
          </w:tcPr>
          <w:p w14:paraId="2E6BE35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_format_provider projects exactly the five fields from the bound provider collection.</w:t>
            </w:r>
          </w:p>
        </w:tc>
      </w:tr>
      <w:tr w:rsidR="00330C1B" w14:paraId="7ED3CCE0"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DFD01B2" w14:textId="77777777" w:rsidR="00330C1B" w:rsidRDefault="00000000">
            <w:r>
              <w:rPr>
                <w:sz w:val="17"/>
              </w:rPr>
              <w:t>F-001-S-001-REQ-B-004</w:t>
            </w:r>
          </w:p>
        </w:tc>
        <w:tc>
          <w:tcPr>
            <w:tcW w:w="936" w:type="dxa"/>
          </w:tcPr>
          <w:p w14:paraId="2E36D8B7"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0924B02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§3.2.1, §3.4.1</w:t>
            </w:r>
          </w:p>
        </w:tc>
        <w:tc>
          <w:tcPr>
            <w:tcW w:w="1080" w:type="dxa"/>
          </w:tcPr>
          <w:p w14:paraId="5F86D9E7"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4752" w:type="dxa"/>
          </w:tcPr>
          <w:p w14:paraId="536257E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specialty filter resolves the request into NUCC codes; the provider search is given codes and identifies none.</w:t>
            </w:r>
          </w:p>
        </w:tc>
      </w:tr>
      <w:tr w:rsidR="00330C1B" w14:paraId="3711AB9A"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E67ACE8" w14:textId="77777777" w:rsidR="00330C1B" w:rsidRDefault="00000000">
            <w:r>
              <w:rPr>
                <w:sz w:val="17"/>
              </w:rPr>
              <w:t>F-001-S-001-REQ-B-006</w:t>
            </w:r>
          </w:p>
        </w:tc>
        <w:tc>
          <w:tcPr>
            <w:tcW w:w="936" w:type="dxa"/>
          </w:tcPr>
          <w:p w14:paraId="0A60F9C1"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455A20C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§3.2.4</w:t>
            </w:r>
          </w:p>
        </w:tc>
        <w:tc>
          <w:tcPr>
            <w:tcW w:w="1080" w:type="dxa"/>
          </w:tcPr>
          <w:p w14:paraId="2DA94173"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w:t>
            </w:r>
          </w:p>
        </w:tc>
        <w:tc>
          <w:tcPr>
            <w:tcW w:w="4752" w:type="dxa"/>
          </w:tcPr>
          <w:p w14:paraId="51409E9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One timer bound to the turn, started on submit and stopped only on the terminal event, so a multi-hop turn cannot reset it.</w:t>
            </w:r>
          </w:p>
        </w:tc>
      </w:tr>
      <w:tr w:rsidR="00330C1B" w14:paraId="4F043BE6"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BF1001F" w14:textId="77777777" w:rsidR="00330C1B" w:rsidRDefault="00000000">
            <w:r>
              <w:rPr>
                <w:sz w:val="17"/>
              </w:rPr>
              <w:t>F-001-S-002-REQ-B-016</w:t>
            </w:r>
          </w:p>
        </w:tc>
        <w:tc>
          <w:tcPr>
            <w:tcW w:w="936" w:type="dxa"/>
          </w:tcPr>
          <w:p w14:paraId="279E828D"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0703142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§3.2.5</w:t>
            </w:r>
          </w:p>
        </w:tc>
        <w:tc>
          <w:tcPr>
            <w:tcW w:w="1080" w:type="dxa"/>
          </w:tcPr>
          <w:p w14:paraId="1C299143"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4752" w:type="dxa"/>
          </w:tcPr>
          <w:p w14:paraId="01B6707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select verb on the one server-side selection writer, reached through the gateway.</w:t>
            </w:r>
          </w:p>
        </w:tc>
      </w:tr>
      <w:tr w:rsidR="00330C1B" w14:paraId="216FFF79"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707ABDC5" w14:textId="77777777" w:rsidR="00330C1B" w:rsidRDefault="00000000">
            <w:r>
              <w:rPr>
                <w:sz w:val="17"/>
              </w:rPr>
              <w:t>F-001-S-002-REQ-B-017</w:t>
            </w:r>
          </w:p>
        </w:tc>
        <w:tc>
          <w:tcPr>
            <w:tcW w:w="936" w:type="dxa"/>
          </w:tcPr>
          <w:p w14:paraId="2FCF2FE5"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3A6D2B73"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§3.2.5</w:t>
            </w:r>
          </w:p>
        </w:tc>
        <w:tc>
          <w:tcPr>
            <w:tcW w:w="1080" w:type="dxa"/>
          </w:tcPr>
          <w:p w14:paraId="0928AAA8"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w:t>
            </w:r>
          </w:p>
        </w:tc>
        <w:tc>
          <w:tcPr>
            <w:tcW w:w="4752" w:type="dxa"/>
          </w:tcPr>
          <w:p w14:paraId="78279444"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deselect verb on the same writer.</w:t>
            </w:r>
          </w:p>
        </w:tc>
      </w:tr>
      <w:tr w:rsidR="00330C1B" w14:paraId="4DB4544B"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60A887B7" w14:textId="77777777" w:rsidR="00330C1B" w:rsidRDefault="00000000">
            <w:r>
              <w:rPr>
                <w:sz w:val="17"/>
              </w:rPr>
              <w:t>F-001-S-002-REQ-B-018</w:t>
            </w:r>
          </w:p>
        </w:tc>
        <w:tc>
          <w:tcPr>
            <w:tcW w:w="936" w:type="dxa"/>
          </w:tcPr>
          <w:p w14:paraId="3C6B719D"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00F270B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§3.2.5</w:t>
            </w:r>
          </w:p>
        </w:tc>
        <w:tc>
          <w:tcPr>
            <w:tcW w:w="1080" w:type="dxa"/>
          </w:tcPr>
          <w:p w14:paraId="6FDB3721"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4752" w:type="dxa"/>
          </w:tcPr>
          <w:p w14:paraId="47DEE998"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set is session state persisted to Users.sessions, so nothing in the browser can lose it.</w:t>
            </w:r>
          </w:p>
        </w:tc>
      </w:tr>
      <w:tr w:rsidR="00330C1B" w14:paraId="6E8BAD0E"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A12A68D" w14:textId="77777777" w:rsidR="00330C1B" w:rsidRDefault="00000000">
            <w:r>
              <w:rPr>
                <w:sz w:val="17"/>
              </w:rPr>
              <w:t>F-001-S-002-REQ-B-019</w:t>
            </w:r>
          </w:p>
        </w:tc>
        <w:tc>
          <w:tcPr>
            <w:tcW w:w="936" w:type="dxa"/>
          </w:tcPr>
          <w:p w14:paraId="588C38E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166ED86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§3.2.5</w:t>
            </w:r>
          </w:p>
        </w:tc>
        <w:tc>
          <w:tcPr>
            <w:tcW w:w="1080" w:type="dxa"/>
          </w:tcPr>
          <w:p w14:paraId="3571620E"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C-03</w:t>
            </w:r>
          </w:p>
        </w:tc>
        <w:tc>
          <w:tcPr>
            <w:tcW w:w="4752" w:type="dxa"/>
          </w:tcPr>
          <w:p w14:paraId="59CB7D1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server computes the exclusion from the selected set against the chosen codes and flags the row; the row is kept and marked, not dropped.</w:t>
            </w:r>
          </w:p>
        </w:tc>
      </w:tr>
      <w:tr w:rsidR="00330C1B" w14:paraId="26425804"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7F7AE506" w14:textId="77777777" w:rsidR="00330C1B" w:rsidRDefault="00000000">
            <w:r>
              <w:rPr>
                <w:sz w:val="17"/>
              </w:rPr>
              <w:t>F-001-S-003-REQ-B-004</w:t>
            </w:r>
          </w:p>
        </w:tc>
        <w:tc>
          <w:tcPr>
            <w:tcW w:w="936" w:type="dxa"/>
          </w:tcPr>
          <w:p w14:paraId="28B1099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2AC9F425"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§3.2.7, §5.2</w:t>
            </w:r>
          </w:p>
        </w:tc>
        <w:tc>
          <w:tcPr>
            <w:tcW w:w="1080" w:type="dxa"/>
          </w:tcPr>
          <w:p w14:paraId="20A806CF"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C-17</w:t>
            </w:r>
          </w:p>
        </w:tc>
        <w:tc>
          <w:tcPr>
            <w:tcW w:w="4752" w:type="dxa"/>
          </w:tcPr>
          <w:p w14:paraId="691A0518"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Arrival is met by the client having no other address; refusal is met by every FindCare route requiring a SharedServices-signed token verified against SHARED_CERT_PEM.</w:t>
            </w:r>
          </w:p>
        </w:tc>
      </w:tr>
      <w:tr w:rsidR="00330C1B" w14:paraId="0D9BBB61"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5A375350" w14:textId="77777777" w:rsidR="00330C1B" w:rsidRDefault="00000000">
            <w:r>
              <w:rPr>
                <w:sz w:val="17"/>
              </w:rPr>
              <w:t>F-001-S-004-REQ-B-001</w:t>
            </w:r>
          </w:p>
        </w:tc>
        <w:tc>
          <w:tcPr>
            <w:tcW w:w="936" w:type="dxa"/>
          </w:tcPr>
          <w:p w14:paraId="1784174E"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417ECCC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§3.2.3</w:t>
            </w:r>
          </w:p>
        </w:tc>
        <w:tc>
          <w:tcPr>
            <w:tcW w:w="1080" w:type="dxa"/>
          </w:tcPr>
          <w:p w14:paraId="3881AB2E"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C-02</w:t>
            </w:r>
          </w:p>
        </w:tc>
        <w:tc>
          <w:tcPr>
            <w:tcW w:w="4752" w:type="dxa"/>
          </w:tcPr>
          <w:p w14:paraId="6190DDD9"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row carries the chosen code that admitted the provider, resolved server-side where both the taxonomy list and the chosen set are held.</w:t>
            </w:r>
          </w:p>
        </w:tc>
      </w:tr>
      <w:tr w:rsidR="00330C1B" w14:paraId="16EF90AB"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2A704125" w14:textId="77777777" w:rsidR="00330C1B" w:rsidRDefault="00000000">
            <w:r>
              <w:rPr>
                <w:sz w:val="17"/>
              </w:rPr>
              <w:t>F-001-S-005-REQ-B-001</w:t>
            </w:r>
          </w:p>
        </w:tc>
        <w:tc>
          <w:tcPr>
            <w:tcW w:w="936" w:type="dxa"/>
          </w:tcPr>
          <w:p w14:paraId="2F7FF82B"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5B60474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§3.2.6, §3.10</w:t>
            </w:r>
          </w:p>
        </w:tc>
        <w:tc>
          <w:tcPr>
            <w:tcW w:w="1080" w:type="dxa"/>
          </w:tcPr>
          <w:p w14:paraId="179BA82B"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C-05, C-22a</w:t>
            </w:r>
          </w:p>
        </w:tc>
        <w:tc>
          <w:tcPr>
            <w:tcW w:w="4752" w:type="dxa"/>
          </w:tcPr>
          <w:p w14:paraId="498F3BA2"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summary names an individualProvider attribute holding the person's own phrase, written by the utterance manager that already read the utterance — not the complaint, which is by definition the translation.</w:t>
            </w:r>
          </w:p>
        </w:tc>
      </w:tr>
      <w:tr w:rsidR="00330C1B" w14:paraId="75D9ACFB"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7F8DA94A" w14:textId="77777777" w:rsidR="00330C1B" w:rsidRDefault="00000000">
            <w:r>
              <w:rPr>
                <w:sz w:val="17"/>
              </w:rPr>
              <w:t>F-001-S-005-REQ-B-002</w:t>
            </w:r>
          </w:p>
        </w:tc>
        <w:tc>
          <w:tcPr>
            <w:tcW w:w="936" w:type="dxa"/>
          </w:tcPr>
          <w:p w14:paraId="78A46C6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56E064D8"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§3.2.6</w:t>
            </w:r>
          </w:p>
        </w:tc>
        <w:tc>
          <w:tcPr>
            <w:tcW w:w="1080" w:type="dxa"/>
          </w:tcPr>
          <w:p w14:paraId="798984D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C-05</w:t>
            </w:r>
          </w:p>
        </w:tc>
        <w:tc>
          <w:tcPr>
            <w:tcW w:w="4752" w:type="dxa"/>
          </w:tcPr>
          <w:p w14:paraId="2BB9114E"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remainder is the $facet total less the page count, from the same aggregation as the page.</w:t>
            </w:r>
          </w:p>
        </w:tc>
      </w:tr>
      <w:tr w:rsidR="00330C1B" w14:paraId="4387155F"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ACE1C9C" w14:textId="77777777" w:rsidR="00330C1B" w:rsidRDefault="00000000">
            <w:r>
              <w:rPr>
                <w:sz w:val="17"/>
              </w:rPr>
              <w:t>F-001-S-005-REQ-B-003</w:t>
            </w:r>
          </w:p>
        </w:tc>
        <w:tc>
          <w:tcPr>
            <w:tcW w:w="936" w:type="dxa"/>
          </w:tcPr>
          <w:p w14:paraId="102C573B"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101B1BA6"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§3.2.6</w:t>
            </w:r>
          </w:p>
        </w:tc>
        <w:tc>
          <w:tcPr>
            <w:tcW w:w="1080" w:type="dxa"/>
          </w:tcPr>
          <w:p w14:paraId="7B005F08"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C-05</w:t>
            </w:r>
          </w:p>
        </w:tc>
        <w:tc>
          <w:tcPr>
            <w:tcW w:w="4752" w:type="dxa"/>
          </w:tcPr>
          <w:p w14:paraId="584AAACB"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kind count is the size of the specialisation set the filter offered.</w:t>
            </w:r>
          </w:p>
        </w:tc>
      </w:tr>
      <w:tr w:rsidR="00330C1B" w14:paraId="6A04C250"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04BBF5F" w14:textId="77777777" w:rsidR="00330C1B" w:rsidRDefault="00000000">
            <w:r>
              <w:rPr>
                <w:sz w:val="17"/>
              </w:rPr>
              <w:t>F-001-S-005-REQ-B-006</w:t>
            </w:r>
          </w:p>
        </w:tc>
        <w:tc>
          <w:tcPr>
            <w:tcW w:w="936" w:type="dxa"/>
          </w:tcPr>
          <w:p w14:paraId="64F95B8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4D3936D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§3.2.6</w:t>
            </w:r>
          </w:p>
        </w:tc>
        <w:tc>
          <w:tcPr>
            <w:tcW w:w="1080" w:type="dxa"/>
          </w:tcPr>
          <w:p w14:paraId="26F9A60E"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C-05</w:t>
            </w:r>
          </w:p>
        </w:tc>
        <w:tc>
          <w:tcPr>
            <w:tcW w:w="4752" w:type="dxa"/>
          </w:tcPr>
          <w:p w14:paraId="526439A8"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Emitted when the geography parameter carries a state.</w:t>
            </w:r>
          </w:p>
        </w:tc>
      </w:tr>
      <w:tr w:rsidR="00330C1B" w14:paraId="06C21E4F"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539F6090" w14:textId="77777777" w:rsidR="00330C1B" w:rsidRDefault="00000000">
            <w:r>
              <w:rPr>
                <w:sz w:val="17"/>
              </w:rPr>
              <w:t>F-001-S-005-REQ-B-008</w:t>
            </w:r>
          </w:p>
        </w:tc>
        <w:tc>
          <w:tcPr>
            <w:tcW w:w="936" w:type="dxa"/>
          </w:tcPr>
          <w:p w14:paraId="2448449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037B1066"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§3.2.6, §3.7.4</w:t>
            </w:r>
          </w:p>
        </w:tc>
        <w:tc>
          <w:tcPr>
            <w:tcW w:w="1080" w:type="dxa"/>
          </w:tcPr>
          <w:p w14:paraId="2330C27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C-04, C-05</w:t>
            </w:r>
          </w:p>
        </w:tc>
        <w:tc>
          <w:tcPr>
            <w:tcW w:w="4752" w:type="dxa"/>
          </w:tcPr>
          <w:p w14:paraId="20A2206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Each of city, county and zip is offered only when its own geography field is empty.</w:t>
            </w:r>
          </w:p>
        </w:tc>
      </w:tr>
      <w:tr w:rsidR="00330C1B" w14:paraId="0EF8BCFF"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60117F16" w14:textId="77777777" w:rsidR="00330C1B" w:rsidRDefault="00000000">
            <w:r>
              <w:rPr>
                <w:sz w:val="17"/>
              </w:rPr>
              <w:t>F-001-S-005-REQ-B-009</w:t>
            </w:r>
          </w:p>
        </w:tc>
        <w:tc>
          <w:tcPr>
            <w:tcW w:w="936" w:type="dxa"/>
          </w:tcPr>
          <w:p w14:paraId="1A454649"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6EA62972"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§3.2.6</w:t>
            </w:r>
          </w:p>
        </w:tc>
        <w:tc>
          <w:tcPr>
            <w:tcW w:w="1080" w:type="dxa"/>
          </w:tcPr>
          <w:p w14:paraId="7790ECD4"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C-05</w:t>
            </w:r>
          </w:p>
        </w:tc>
        <w:tc>
          <w:tcPr>
            <w:tcW w:w="4752" w:type="dxa"/>
          </w:tcPr>
          <w:p w14:paraId="0DDA68F2"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summary is a field of the result envelope, carried unchanged to the client and painted in the same repaint as the rows.</w:t>
            </w:r>
          </w:p>
        </w:tc>
      </w:tr>
    </w:tbl>
    <w:p w14:paraId="77773523" w14:textId="77777777" w:rsidR="00330C1B" w:rsidRDefault="00000000">
      <w:pPr>
        <w:pStyle w:val="Heading3"/>
      </w:pPr>
      <w:r>
        <w:t>EPIC-006-F-002 — 12 requirements</w:t>
      </w:r>
    </w:p>
    <w:tbl>
      <w:tblPr>
        <w:tblStyle w:val="LightGrid-Accent1"/>
        <w:tblW w:w="0" w:type="auto"/>
        <w:tblLook w:val="04A0" w:firstRow="1" w:lastRow="0" w:firstColumn="1" w:lastColumn="0" w:noHBand="0" w:noVBand="1"/>
      </w:tblPr>
      <w:tblGrid>
        <w:gridCol w:w="1475"/>
        <w:gridCol w:w="935"/>
        <w:gridCol w:w="1043"/>
        <w:gridCol w:w="1036"/>
        <w:gridCol w:w="4367"/>
      </w:tblGrid>
      <w:tr w:rsidR="00330C1B" w14:paraId="3212F671" w14:textId="77777777" w:rsidTr="00330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33E69E4" w14:textId="77777777" w:rsidR="00330C1B" w:rsidRDefault="00000000">
            <w:r>
              <w:rPr>
                <w:sz w:val="18"/>
              </w:rPr>
              <w:t>Requirement</w:t>
            </w:r>
          </w:p>
        </w:tc>
        <w:tc>
          <w:tcPr>
            <w:tcW w:w="936" w:type="dxa"/>
          </w:tcPr>
          <w:p w14:paraId="7C711223"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Outcome</w:t>
            </w:r>
          </w:p>
        </w:tc>
        <w:tc>
          <w:tcPr>
            <w:tcW w:w="1080" w:type="dxa"/>
          </w:tcPr>
          <w:p w14:paraId="18D1BF67"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Section</w:t>
            </w:r>
          </w:p>
        </w:tc>
        <w:tc>
          <w:tcPr>
            <w:tcW w:w="1080" w:type="dxa"/>
          </w:tcPr>
          <w:p w14:paraId="41A8A178"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Closed by</w:t>
            </w:r>
          </w:p>
        </w:tc>
        <w:tc>
          <w:tcPr>
            <w:tcW w:w="4752" w:type="dxa"/>
          </w:tcPr>
          <w:p w14:paraId="7D474445"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How the design meets it</w:t>
            </w:r>
          </w:p>
        </w:tc>
      </w:tr>
      <w:tr w:rsidR="00330C1B" w14:paraId="7F8DCA06"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C850BC5" w14:textId="77777777" w:rsidR="00330C1B" w:rsidRDefault="00000000">
            <w:r>
              <w:rPr>
                <w:sz w:val="17"/>
              </w:rPr>
              <w:t>F-002-S-001-REQ-B-001</w:t>
            </w:r>
          </w:p>
        </w:tc>
        <w:tc>
          <w:tcPr>
            <w:tcW w:w="936" w:type="dxa"/>
          </w:tcPr>
          <w:p w14:paraId="37213951"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10A0AD7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§3.3.1</w:t>
            </w:r>
          </w:p>
        </w:tc>
        <w:tc>
          <w:tcPr>
            <w:tcW w:w="1080" w:type="dxa"/>
          </w:tcPr>
          <w:p w14:paraId="7F2BB4A6"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4752" w:type="dxa"/>
          </w:tcPr>
          <w:p w14:paraId="4ABE3F43"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One projection from the stored record, rendered after the upkeep cycle has run.</w:t>
            </w:r>
          </w:p>
        </w:tc>
      </w:tr>
      <w:tr w:rsidR="00330C1B" w14:paraId="3DC7B1CF"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7D8C3C77" w14:textId="77777777" w:rsidR="00330C1B" w:rsidRDefault="00000000">
            <w:r>
              <w:rPr>
                <w:sz w:val="17"/>
              </w:rPr>
              <w:t>F-002-S-001-REQ-B-002</w:t>
            </w:r>
          </w:p>
        </w:tc>
        <w:tc>
          <w:tcPr>
            <w:tcW w:w="936" w:type="dxa"/>
          </w:tcPr>
          <w:p w14:paraId="07F89DD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67CBF74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§3.3.1</w:t>
            </w:r>
          </w:p>
        </w:tc>
        <w:tc>
          <w:tcPr>
            <w:tcW w:w="1080" w:type="dxa"/>
          </w:tcPr>
          <w:p w14:paraId="16DA4526"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w:t>
            </w:r>
          </w:p>
        </w:tc>
        <w:tc>
          <w:tcPr>
            <w:tcW w:w="4752" w:type="dxa"/>
          </w:tcPr>
          <w:p w14:paraId="4E9B7AE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Identity projection; the taxonomy display name joined from the bound specialty catalogue; absent fields emitted empty rather than omitted.</w:t>
            </w:r>
          </w:p>
        </w:tc>
      </w:tr>
      <w:tr w:rsidR="00330C1B" w14:paraId="0E436470"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0FD38A1" w14:textId="77777777" w:rsidR="00330C1B" w:rsidRDefault="00000000">
            <w:r>
              <w:rPr>
                <w:sz w:val="17"/>
              </w:rPr>
              <w:t>F-002-S-001-REQ-B-003</w:t>
            </w:r>
          </w:p>
        </w:tc>
        <w:tc>
          <w:tcPr>
            <w:tcW w:w="936" w:type="dxa"/>
          </w:tcPr>
          <w:p w14:paraId="7D723793"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21CB005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§3.3.1</w:t>
            </w:r>
          </w:p>
        </w:tc>
        <w:tc>
          <w:tcPr>
            <w:tcW w:w="1080" w:type="dxa"/>
          </w:tcPr>
          <w:p w14:paraId="03D989F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4752" w:type="dxa"/>
          </w:tcPr>
          <w:p w14:paraId="4B8D7EB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normalised licence list, emitted as a section whether or not it holds rows.</w:t>
            </w:r>
          </w:p>
        </w:tc>
      </w:tr>
      <w:tr w:rsidR="00330C1B" w14:paraId="304E91E5"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4A70DF60" w14:textId="77777777" w:rsidR="00330C1B" w:rsidRDefault="00000000">
            <w:r>
              <w:rPr>
                <w:sz w:val="17"/>
              </w:rPr>
              <w:t>F-002-S-001-REQ-B-004</w:t>
            </w:r>
          </w:p>
        </w:tc>
        <w:tc>
          <w:tcPr>
            <w:tcW w:w="936" w:type="dxa"/>
          </w:tcPr>
          <w:p w14:paraId="673632A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2542F7A8"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§3.3.1</w:t>
            </w:r>
          </w:p>
        </w:tc>
        <w:tc>
          <w:tcPr>
            <w:tcW w:w="1080" w:type="dxa"/>
          </w:tcPr>
          <w:p w14:paraId="1523B596"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w:t>
            </w:r>
          </w:p>
        </w:tc>
        <w:tc>
          <w:tcPr>
            <w:tcW w:w="4752" w:type="dxa"/>
          </w:tcPr>
          <w:p w14:paraId="15F9EEE5"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One address list carrying the address_type label, so practice and business addresses cannot disagree about which is which.</w:t>
            </w:r>
          </w:p>
        </w:tc>
      </w:tr>
      <w:tr w:rsidR="00330C1B" w14:paraId="311FA2D4"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513FDBB4" w14:textId="77777777" w:rsidR="00330C1B" w:rsidRDefault="00000000">
            <w:r>
              <w:rPr>
                <w:sz w:val="17"/>
              </w:rPr>
              <w:t>F-002-S-001-REQ-B-005</w:t>
            </w:r>
          </w:p>
        </w:tc>
        <w:tc>
          <w:tcPr>
            <w:tcW w:w="936" w:type="dxa"/>
          </w:tcPr>
          <w:p w14:paraId="19DC563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34E557C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§3.3.1</w:t>
            </w:r>
          </w:p>
        </w:tc>
        <w:tc>
          <w:tcPr>
            <w:tcW w:w="1080" w:type="dxa"/>
          </w:tcPr>
          <w:p w14:paraId="5D660DB1"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C-07</w:t>
            </w:r>
          </w:p>
        </w:tc>
        <w:tc>
          <w:tcPr>
            <w:tcW w:w="4752" w:type="dxa"/>
          </w:tcPr>
          <w:p w14:paraId="2F281E5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address's CountyEnrichment carries fips, name and the RUCC-derived urban flag; an absent flag renders as no urban statement.</w:t>
            </w:r>
          </w:p>
        </w:tc>
      </w:tr>
      <w:tr w:rsidR="00330C1B" w14:paraId="2935F50E"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25B66899" w14:textId="77777777" w:rsidR="00330C1B" w:rsidRDefault="00000000">
            <w:r>
              <w:rPr>
                <w:sz w:val="17"/>
              </w:rPr>
              <w:t>F-002-S-001-REQ-B-006</w:t>
            </w:r>
          </w:p>
        </w:tc>
        <w:tc>
          <w:tcPr>
            <w:tcW w:w="936" w:type="dxa"/>
          </w:tcPr>
          <w:p w14:paraId="61D7774B"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22085D8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§3.3.1</w:t>
            </w:r>
          </w:p>
        </w:tc>
        <w:tc>
          <w:tcPr>
            <w:tcW w:w="1080" w:type="dxa"/>
          </w:tcPr>
          <w:p w14:paraId="35F9B3E1"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C-06</w:t>
            </w:r>
          </w:p>
        </w:tc>
        <w:tc>
          <w:tcPr>
            <w:tcW w:w="4752" w:type="dxa"/>
          </w:tcPr>
          <w:p w14:paraId="4776876B"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Four fields per payer row, labelled as identifiers the provider carries and never as a network.</w:t>
            </w:r>
          </w:p>
        </w:tc>
      </w:tr>
      <w:tr w:rsidR="00330C1B" w14:paraId="28BD8E07"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606E41E" w14:textId="77777777" w:rsidR="00330C1B" w:rsidRDefault="00000000">
            <w:r>
              <w:rPr>
                <w:sz w:val="17"/>
              </w:rPr>
              <w:t>F-002-S-001-REQ-B-007</w:t>
            </w:r>
          </w:p>
        </w:tc>
        <w:tc>
          <w:tcPr>
            <w:tcW w:w="936" w:type="dxa"/>
          </w:tcPr>
          <w:p w14:paraId="216A180F"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7E29C406"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§3.3.1</w:t>
            </w:r>
          </w:p>
        </w:tc>
        <w:tc>
          <w:tcPr>
            <w:tcW w:w="1080" w:type="dxa"/>
          </w:tcPr>
          <w:p w14:paraId="23520C73"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C-08</w:t>
            </w:r>
          </w:p>
        </w:tc>
        <w:tc>
          <w:tcPr>
            <w:tcW w:w="4752" w:type="dxa"/>
          </w:tcPr>
          <w:p w14:paraId="1DB44B68"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registry search for the NPI, plus a STATE_BOARDS lookup on the primary practice state whose domain is every jurisdiction the registry can write.</w:t>
            </w:r>
          </w:p>
        </w:tc>
      </w:tr>
      <w:tr w:rsidR="00330C1B" w14:paraId="0C92C2AA"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0AFE73B2" w14:textId="77777777" w:rsidR="00330C1B" w:rsidRDefault="00000000">
            <w:r>
              <w:rPr>
                <w:sz w:val="17"/>
              </w:rPr>
              <w:t>F-002-S-002-REQ-</w:t>
            </w:r>
            <w:r>
              <w:rPr>
                <w:sz w:val="17"/>
              </w:rPr>
              <w:t>B-015</w:t>
            </w:r>
          </w:p>
        </w:tc>
        <w:tc>
          <w:tcPr>
            <w:tcW w:w="936" w:type="dxa"/>
          </w:tcPr>
          <w:p w14:paraId="5EA91C46"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18AE9481"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§3.3.2</w:t>
            </w:r>
          </w:p>
        </w:tc>
        <w:tc>
          <w:tcPr>
            <w:tcW w:w="1080" w:type="dxa"/>
          </w:tcPr>
          <w:p w14:paraId="7C83E1F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w:t>
            </w:r>
          </w:p>
        </w:tc>
        <w:tc>
          <w:tcPr>
            <w:tcW w:w="4752" w:type="dxa"/>
          </w:tcPr>
          <w:p w14:paraId="6A81B1E6"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 xml:space="preserve">fetch_live is a capability of the provider service, taking an </w:t>
            </w:r>
            <w:r>
              <w:rPr>
                <w:sz w:val="17"/>
              </w:rPr>
              <w:t>NPI, available to any Provider tool holding the service.</w:t>
            </w:r>
          </w:p>
        </w:tc>
      </w:tr>
      <w:tr w:rsidR="00330C1B" w14:paraId="03D72B13"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75429BC4" w14:textId="77777777" w:rsidR="00330C1B" w:rsidRDefault="00000000">
            <w:r>
              <w:rPr>
                <w:sz w:val="17"/>
              </w:rPr>
              <w:t>F-002-S-002-REQ-B-016</w:t>
            </w:r>
          </w:p>
        </w:tc>
        <w:tc>
          <w:tcPr>
            <w:tcW w:w="936" w:type="dxa"/>
          </w:tcPr>
          <w:p w14:paraId="175EAE42"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264FDDC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§3.3.2</w:t>
            </w:r>
          </w:p>
        </w:tc>
        <w:tc>
          <w:tcPr>
            <w:tcW w:w="1080" w:type="dxa"/>
          </w:tcPr>
          <w:p w14:paraId="60FC509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4752" w:type="dxa"/>
          </w:tcPr>
          <w:p w14:paraId="4AADAD1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version=2.1 registry response carries identity, taxonomies, addresses, other identifiers and active state in one document.</w:t>
            </w:r>
          </w:p>
        </w:tc>
      </w:tr>
      <w:tr w:rsidR="00330C1B" w14:paraId="0D3AA5F6"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709C1CD7" w14:textId="77777777" w:rsidR="00330C1B" w:rsidRDefault="00000000">
            <w:r>
              <w:rPr>
                <w:sz w:val="17"/>
              </w:rPr>
              <w:t>F-002-S-002-REQ-B-017</w:t>
            </w:r>
          </w:p>
        </w:tc>
        <w:tc>
          <w:tcPr>
            <w:tcW w:w="936" w:type="dxa"/>
          </w:tcPr>
          <w:p w14:paraId="300B530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3D7BFA3F"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§3.3.2</w:t>
            </w:r>
          </w:p>
        </w:tc>
        <w:tc>
          <w:tcPr>
            <w:tcW w:w="1080" w:type="dxa"/>
          </w:tcPr>
          <w:p w14:paraId="583C1528"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w:t>
            </w:r>
          </w:p>
        </w:tc>
        <w:tc>
          <w:tcPr>
            <w:tcW w:w="4752" w:type="dxa"/>
          </w:tcPr>
          <w:p w14:paraId="14048A4F"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County and urban standing are fields on the address in the record, written by EPIC-010 and read by anything holding the record.</w:t>
            </w:r>
          </w:p>
        </w:tc>
      </w:tr>
      <w:tr w:rsidR="00330C1B" w14:paraId="0A191BD3"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DFD76C2" w14:textId="77777777" w:rsidR="00330C1B" w:rsidRDefault="00000000">
            <w:r>
              <w:rPr>
                <w:sz w:val="17"/>
              </w:rPr>
              <w:t>F-002-S-002-REQ-B-018</w:t>
            </w:r>
          </w:p>
        </w:tc>
        <w:tc>
          <w:tcPr>
            <w:tcW w:w="936" w:type="dxa"/>
          </w:tcPr>
          <w:p w14:paraId="1FC1A048"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622EBFA6"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§3.3.2</w:t>
            </w:r>
          </w:p>
        </w:tc>
        <w:tc>
          <w:tcPr>
            <w:tcW w:w="1080" w:type="dxa"/>
          </w:tcPr>
          <w:p w14:paraId="367B26CF"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4752" w:type="dxa"/>
          </w:tcPr>
          <w:p w14:paraId="2D8CB56F"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write-back precedes the projection, so the panel shows what the registry reported for this opening.</w:t>
            </w:r>
          </w:p>
        </w:tc>
      </w:tr>
      <w:tr w:rsidR="00330C1B" w14:paraId="2A8B879F"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004D1F7C" w14:textId="77777777" w:rsidR="00330C1B" w:rsidRDefault="00000000">
            <w:r>
              <w:rPr>
                <w:sz w:val="17"/>
              </w:rPr>
              <w:t>F-002-S-002-REQ-B-019</w:t>
            </w:r>
          </w:p>
        </w:tc>
        <w:tc>
          <w:tcPr>
            <w:tcW w:w="936" w:type="dxa"/>
          </w:tcPr>
          <w:p w14:paraId="29BD8382"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666AD33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§3.3.2</w:t>
            </w:r>
          </w:p>
        </w:tc>
        <w:tc>
          <w:tcPr>
            <w:tcW w:w="1080" w:type="dxa"/>
          </w:tcPr>
          <w:p w14:paraId="2B34D32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w:t>
            </w:r>
          </w:p>
        </w:tc>
        <w:tc>
          <w:tcPr>
            <w:tcW w:w="4752" w:type="dxa"/>
          </w:tcPr>
          <w:p w14:paraId="249606B1"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All four not-answering shapes skip the comparison and render the stored record; the live query improves the answer and is never a precondition for it.</w:t>
            </w:r>
          </w:p>
        </w:tc>
      </w:tr>
    </w:tbl>
    <w:p w14:paraId="45DEB800" w14:textId="77777777" w:rsidR="00330C1B" w:rsidRDefault="00000000">
      <w:pPr>
        <w:pStyle w:val="Heading3"/>
      </w:pPr>
      <w:r>
        <w:t>EPIC-006-F-003 — 7 requirements</w:t>
      </w:r>
    </w:p>
    <w:tbl>
      <w:tblPr>
        <w:tblStyle w:val="LightGrid-Accent1"/>
        <w:tblW w:w="0" w:type="auto"/>
        <w:tblLook w:val="04A0" w:firstRow="1" w:lastRow="0" w:firstColumn="1" w:lastColumn="0" w:noHBand="0" w:noVBand="1"/>
      </w:tblPr>
      <w:tblGrid>
        <w:gridCol w:w="1478"/>
        <w:gridCol w:w="935"/>
        <w:gridCol w:w="1046"/>
        <w:gridCol w:w="1040"/>
        <w:gridCol w:w="4357"/>
      </w:tblGrid>
      <w:tr w:rsidR="00330C1B" w14:paraId="3BEF0DEC" w14:textId="77777777" w:rsidTr="00330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0C45BEA8" w14:textId="77777777" w:rsidR="00330C1B" w:rsidRDefault="00000000">
            <w:r>
              <w:rPr>
                <w:sz w:val="18"/>
              </w:rPr>
              <w:t>Requirement</w:t>
            </w:r>
          </w:p>
        </w:tc>
        <w:tc>
          <w:tcPr>
            <w:tcW w:w="936" w:type="dxa"/>
          </w:tcPr>
          <w:p w14:paraId="6AAFE0A9"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Outcome</w:t>
            </w:r>
          </w:p>
        </w:tc>
        <w:tc>
          <w:tcPr>
            <w:tcW w:w="1080" w:type="dxa"/>
          </w:tcPr>
          <w:p w14:paraId="784AA4FC"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Section</w:t>
            </w:r>
          </w:p>
        </w:tc>
        <w:tc>
          <w:tcPr>
            <w:tcW w:w="1080" w:type="dxa"/>
          </w:tcPr>
          <w:p w14:paraId="62A83F78"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Closed by</w:t>
            </w:r>
          </w:p>
        </w:tc>
        <w:tc>
          <w:tcPr>
            <w:tcW w:w="4752" w:type="dxa"/>
          </w:tcPr>
          <w:p w14:paraId="6B97DC65"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How the design meets it</w:t>
            </w:r>
          </w:p>
        </w:tc>
      </w:tr>
      <w:tr w:rsidR="00330C1B" w14:paraId="4BFD506A"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5CF5DAB1" w14:textId="77777777" w:rsidR="00330C1B" w:rsidRDefault="00000000">
            <w:r>
              <w:rPr>
                <w:sz w:val="17"/>
              </w:rPr>
              <w:t>F-003-S-001-REQ-B-002</w:t>
            </w:r>
          </w:p>
        </w:tc>
        <w:tc>
          <w:tcPr>
            <w:tcW w:w="936" w:type="dxa"/>
          </w:tcPr>
          <w:p w14:paraId="5ED3AED6"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79E72F37"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§3.4.1, §3.10</w:t>
            </w:r>
          </w:p>
        </w:tc>
        <w:tc>
          <w:tcPr>
            <w:tcW w:w="1080" w:type="dxa"/>
          </w:tcPr>
          <w:p w14:paraId="350B4B44"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C-21</w:t>
            </w:r>
          </w:p>
        </w:tc>
        <w:tc>
          <w:tcPr>
            <w:tcW w:w="4752" w:type="dxa"/>
          </w:tcPr>
          <w:p w14:paraId="0D5333F7"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Normalise, embed, recall from the catalogue, then decide among candidates the catalogue holds, intersected so no invented code can be returned. All three model calls run through the facade.</w:t>
            </w:r>
          </w:p>
        </w:tc>
      </w:tr>
      <w:tr w:rsidR="00330C1B" w14:paraId="3C5490F4"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5002C980" w14:textId="77777777" w:rsidR="00330C1B" w:rsidRDefault="00000000">
            <w:r>
              <w:rPr>
                <w:sz w:val="17"/>
              </w:rPr>
              <w:t>F-003-S-001-REQ-B-003</w:t>
            </w:r>
          </w:p>
        </w:tc>
        <w:tc>
          <w:tcPr>
            <w:tcW w:w="936" w:type="dxa"/>
          </w:tcPr>
          <w:p w14:paraId="15F908E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0DD7FBE9"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§3.4.2</w:t>
            </w:r>
          </w:p>
        </w:tc>
        <w:tc>
          <w:tcPr>
            <w:tcW w:w="1080" w:type="dxa"/>
          </w:tcPr>
          <w:p w14:paraId="31E7D9A2"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w:t>
            </w:r>
          </w:p>
        </w:tc>
        <w:tc>
          <w:tcPr>
            <w:tcW w:w="4752" w:type="dxa"/>
          </w:tcPr>
          <w:p w14:paraId="2694FA5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chosen set is separate from the offered set and neither recomputes the other.</w:t>
            </w:r>
          </w:p>
        </w:tc>
      </w:tr>
      <w:tr w:rsidR="00330C1B" w14:paraId="5B45D53B"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349C712" w14:textId="77777777" w:rsidR="00330C1B" w:rsidRDefault="00000000">
            <w:r>
              <w:rPr>
                <w:sz w:val="17"/>
              </w:rPr>
              <w:t>F-003-S-001-REQ-B-004</w:t>
            </w:r>
          </w:p>
        </w:tc>
        <w:tc>
          <w:tcPr>
            <w:tcW w:w="936" w:type="dxa"/>
          </w:tcPr>
          <w:p w14:paraId="1066BCA2"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505F4414"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§3.4.2</w:t>
            </w:r>
          </w:p>
        </w:tc>
        <w:tc>
          <w:tcPr>
            <w:tcW w:w="1080" w:type="dxa"/>
          </w:tcPr>
          <w:p w14:paraId="71C39A11"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4752" w:type="dxa"/>
          </w:tcPr>
          <w:p w14:paraId="77FA601B"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A partition of the offered set by the prescribing flag each row already carries.</w:t>
            </w:r>
          </w:p>
        </w:tc>
      </w:tr>
      <w:tr w:rsidR="00330C1B" w14:paraId="06BA987E"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21122827" w14:textId="77777777" w:rsidR="00330C1B" w:rsidRDefault="00000000">
            <w:r>
              <w:rPr>
                <w:sz w:val="17"/>
              </w:rPr>
              <w:t>F-003-S-001-REQ-B-005</w:t>
            </w:r>
          </w:p>
        </w:tc>
        <w:tc>
          <w:tcPr>
            <w:tcW w:w="936" w:type="dxa"/>
          </w:tcPr>
          <w:p w14:paraId="509B3356"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6D0D5BE8"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§3.4.2</w:t>
            </w:r>
          </w:p>
        </w:tc>
        <w:tc>
          <w:tcPr>
            <w:tcW w:w="1080" w:type="dxa"/>
          </w:tcPr>
          <w:p w14:paraId="348BC22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w:t>
            </w:r>
          </w:p>
        </w:tc>
        <w:tc>
          <w:tcPr>
            <w:tcW w:w="4752" w:type="dxa"/>
          </w:tcPr>
          <w:p w14:paraId="70A50B9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A partition by the homeopathic flag, which marks a homeopathic provider and is not an umbrella.</w:t>
            </w:r>
          </w:p>
        </w:tc>
      </w:tr>
      <w:tr w:rsidR="00330C1B" w14:paraId="13808FED"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F78DE55" w14:textId="77777777" w:rsidR="00330C1B" w:rsidRDefault="00000000">
            <w:r>
              <w:rPr>
                <w:sz w:val="17"/>
              </w:rPr>
              <w:t>F-003-S-001-REQ-B-006</w:t>
            </w:r>
          </w:p>
        </w:tc>
        <w:tc>
          <w:tcPr>
            <w:tcW w:w="936" w:type="dxa"/>
          </w:tcPr>
          <w:p w14:paraId="1AF6447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74AC4331"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§3.4.2</w:t>
            </w:r>
          </w:p>
        </w:tc>
        <w:tc>
          <w:tcPr>
            <w:tcW w:w="1080" w:type="dxa"/>
          </w:tcPr>
          <w:p w14:paraId="0F9AAC16"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4752" w:type="dxa"/>
          </w:tcPr>
          <w:p w14:paraId="3BC87014"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Three counts derived at paint time from the two sets, so they cannot disagree with the rows beside them.</w:t>
            </w:r>
          </w:p>
        </w:tc>
      </w:tr>
      <w:tr w:rsidR="00330C1B" w14:paraId="022DA9F1"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461E36B6" w14:textId="77777777" w:rsidR="00330C1B" w:rsidRDefault="00000000">
            <w:r>
              <w:rPr>
                <w:sz w:val="17"/>
              </w:rPr>
              <w:t>F-003-S-001-REQ-B-007</w:t>
            </w:r>
          </w:p>
        </w:tc>
        <w:tc>
          <w:tcPr>
            <w:tcW w:w="936" w:type="dxa"/>
          </w:tcPr>
          <w:p w14:paraId="1025C62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142E8395"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§3.4.3</w:t>
            </w:r>
          </w:p>
        </w:tc>
        <w:tc>
          <w:tcPr>
            <w:tcW w:w="1080" w:type="dxa"/>
          </w:tcPr>
          <w:p w14:paraId="577AA951"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w:t>
            </w:r>
          </w:p>
        </w:tc>
        <w:tc>
          <w:tcPr>
            <w:tcW w:w="4752" w:type="dxa"/>
          </w:tcPr>
          <w:p w14:paraId="17BE7F7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Apply writes the codes and dispatches the search; the taxonomy clause is an intersection, so the admitted set is a property of the query and not of a ranking.</w:t>
            </w:r>
          </w:p>
        </w:tc>
      </w:tr>
      <w:tr w:rsidR="00330C1B" w14:paraId="6149B71D"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2CDD39A0" w14:textId="77777777" w:rsidR="00330C1B" w:rsidRDefault="00000000">
            <w:r>
              <w:rPr>
                <w:sz w:val="17"/>
              </w:rPr>
              <w:t>F-003-S-001-REQ-B-008</w:t>
            </w:r>
          </w:p>
        </w:tc>
        <w:tc>
          <w:tcPr>
            <w:tcW w:w="936" w:type="dxa"/>
          </w:tcPr>
          <w:p w14:paraId="3DF87603"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7FD4151F"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§3.4.2</w:t>
            </w:r>
          </w:p>
        </w:tc>
        <w:tc>
          <w:tcPr>
            <w:tcW w:w="1080" w:type="dxa"/>
          </w:tcPr>
          <w:p w14:paraId="063B43C5"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C-13</w:t>
            </w:r>
          </w:p>
        </w:tc>
        <w:tc>
          <w:tcPr>
            <w:tcW w:w="4752" w:type="dxa"/>
          </w:tcPr>
          <w:p w14:paraId="2AA399A2"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chosen set is a session parameter, cleared only when the complaint itself changes.</w:t>
            </w:r>
          </w:p>
        </w:tc>
      </w:tr>
    </w:tbl>
    <w:p w14:paraId="6402B683" w14:textId="77777777" w:rsidR="00330C1B" w:rsidRDefault="00000000">
      <w:pPr>
        <w:pStyle w:val="Heading3"/>
      </w:pPr>
      <w:r>
        <w:t>EPIC-006-F-004 — 3 requirements</w:t>
      </w:r>
    </w:p>
    <w:tbl>
      <w:tblPr>
        <w:tblStyle w:val="LightGrid-Accent1"/>
        <w:tblW w:w="0" w:type="auto"/>
        <w:tblLook w:val="04A0" w:firstRow="1" w:lastRow="0" w:firstColumn="1" w:lastColumn="0" w:noHBand="0" w:noVBand="1"/>
      </w:tblPr>
      <w:tblGrid>
        <w:gridCol w:w="1479"/>
        <w:gridCol w:w="935"/>
        <w:gridCol w:w="1048"/>
        <w:gridCol w:w="1042"/>
        <w:gridCol w:w="4352"/>
      </w:tblGrid>
      <w:tr w:rsidR="00330C1B" w14:paraId="57B78977" w14:textId="77777777" w:rsidTr="00330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5720BDC5" w14:textId="77777777" w:rsidR="00330C1B" w:rsidRDefault="00000000">
            <w:r>
              <w:rPr>
                <w:sz w:val="18"/>
              </w:rPr>
              <w:t>Requirement</w:t>
            </w:r>
          </w:p>
        </w:tc>
        <w:tc>
          <w:tcPr>
            <w:tcW w:w="936" w:type="dxa"/>
          </w:tcPr>
          <w:p w14:paraId="1E1D03EA"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Outcome</w:t>
            </w:r>
          </w:p>
        </w:tc>
        <w:tc>
          <w:tcPr>
            <w:tcW w:w="1080" w:type="dxa"/>
          </w:tcPr>
          <w:p w14:paraId="5A2BD736"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Section</w:t>
            </w:r>
          </w:p>
        </w:tc>
        <w:tc>
          <w:tcPr>
            <w:tcW w:w="1080" w:type="dxa"/>
          </w:tcPr>
          <w:p w14:paraId="5EEC1D17"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Closed by</w:t>
            </w:r>
          </w:p>
        </w:tc>
        <w:tc>
          <w:tcPr>
            <w:tcW w:w="4752" w:type="dxa"/>
          </w:tcPr>
          <w:p w14:paraId="2324D978"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How the design meets it</w:t>
            </w:r>
          </w:p>
        </w:tc>
      </w:tr>
      <w:tr w:rsidR="00330C1B" w14:paraId="6B3D991F"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7216EE6" w14:textId="77777777" w:rsidR="00330C1B" w:rsidRDefault="00000000">
            <w:r>
              <w:rPr>
                <w:sz w:val="17"/>
              </w:rPr>
              <w:t>F-004-S-001-REQ-B-005</w:t>
            </w:r>
          </w:p>
        </w:tc>
        <w:tc>
          <w:tcPr>
            <w:tcW w:w="936" w:type="dxa"/>
          </w:tcPr>
          <w:p w14:paraId="18A85123"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0C3D6E8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§3.6</w:t>
            </w:r>
          </w:p>
        </w:tc>
        <w:tc>
          <w:tcPr>
            <w:tcW w:w="1080" w:type="dxa"/>
          </w:tcPr>
          <w:p w14:paraId="2BC6F1F6"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4752" w:type="dxa"/>
          </w:tcPr>
          <w:p w14:paraId="0A3D42F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detail renders the sections the trial carries; the list fetch already carried the whole trial, so opening it is a render and not a request.</w:t>
            </w:r>
          </w:p>
        </w:tc>
      </w:tr>
      <w:tr w:rsidR="00330C1B" w14:paraId="3478A510"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5283359" w14:textId="77777777" w:rsidR="00330C1B" w:rsidRDefault="00000000">
            <w:r>
              <w:rPr>
                <w:sz w:val="17"/>
              </w:rPr>
              <w:t>F-004-S-001-REQ-B-006</w:t>
            </w:r>
          </w:p>
        </w:tc>
        <w:tc>
          <w:tcPr>
            <w:tcW w:w="936" w:type="dxa"/>
          </w:tcPr>
          <w:p w14:paraId="6246A53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4B3C03B2"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§3.6</w:t>
            </w:r>
          </w:p>
        </w:tc>
        <w:tc>
          <w:tcPr>
            <w:tcW w:w="1080" w:type="dxa"/>
          </w:tcPr>
          <w:p w14:paraId="586694A9"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w:t>
            </w:r>
          </w:p>
        </w:tc>
        <w:tc>
          <w:tcPr>
            <w:tcW w:w="4752" w:type="dxa"/>
          </w:tcPr>
          <w:p w14:paraId="7261FECB"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Each heading emits an anchor from its own title and the right panel lists the anchors actually rendered.</w:t>
            </w:r>
          </w:p>
        </w:tc>
      </w:tr>
      <w:tr w:rsidR="00330C1B" w14:paraId="09E60152"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3611F45" w14:textId="77777777" w:rsidR="00330C1B" w:rsidRDefault="00000000">
            <w:r>
              <w:rPr>
                <w:sz w:val="17"/>
              </w:rPr>
              <w:t>F-004-S-001-REQ-B-007</w:t>
            </w:r>
          </w:p>
        </w:tc>
        <w:tc>
          <w:tcPr>
            <w:tcW w:w="936" w:type="dxa"/>
          </w:tcPr>
          <w:p w14:paraId="0FF9665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6DD8145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§3.6</w:t>
            </w:r>
          </w:p>
        </w:tc>
        <w:tc>
          <w:tcPr>
            <w:tcW w:w="1080" w:type="dxa"/>
          </w:tcPr>
          <w:p w14:paraId="1591F7D3"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4752" w:type="dxa"/>
          </w:tcPr>
          <w:p w14:paraId="1BDD0A6F"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open row is marked in the list the person chose from, not only in the detail title.</w:t>
            </w:r>
          </w:p>
        </w:tc>
      </w:tr>
    </w:tbl>
    <w:p w14:paraId="57CD54B8" w14:textId="77777777" w:rsidR="00330C1B" w:rsidRDefault="00000000">
      <w:pPr>
        <w:pStyle w:val="Heading3"/>
      </w:pPr>
      <w:r>
        <w:t>EPIC-006-F-005 — 10 requirements</w:t>
      </w:r>
    </w:p>
    <w:tbl>
      <w:tblPr>
        <w:tblStyle w:val="LightGrid-Accent1"/>
        <w:tblW w:w="0" w:type="auto"/>
        <w:tblLook w:val="04A0" w:firstRow="1" w:lastRow="0" w:firstColumn="1" w:lastColumn="0" w:noHBand="0" w:noVBand="1"/>
      </w:tblPr>
      <w:tblGrid>
        <w:gridCol w:w="1465"/>
        <w:gridCol w:w="935"/>
        <w:gridCol w:w="1033"/>
        <w:gridCol w:w="1025"/>
        <w:gridCol w:w="4398"/>
      </w:tblGrid>
      <w:tr w:rsidR="00330C1B" w14:paraId="1CD8DDA9" w14:textId="77777777" w:rsidTr="00330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7B37FDF1" w14:textId="77777777" w:rsidR="00330C1B" w:rsidRDefault="00000000">
            <w:r>
              <w:rPr>
                <w:sz w:val="18"/>
              </w:rPr>
              <w:t>Requirement</w:t>
            </w:r>
          </w:p>
        </w:tc>
        <w:tc>
          <w:tcPr>
            <w:tcW w:w="936" w:type="dxa"/>
          </w:tcPr>
          <w:p w14:paraId="2E16045B"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Outcome</w:t>
            </w:r>
          </w:p>
        </w:tc>
        <w:tc>
          <w:tcPr>
            <w:tcW w:w="1080" w:type="dxa"/>
          </w:tcPr>
          <w:p w14:paraId="1DB1F000"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Section</w:t>
            </w:r>
          </w:p>
        </w:tc>
        <w:tc>
          <w:tcPr>
            <w:tcW w:w="1080" w:type="dxa"/>
          </w:tcPr>
          <w:p w14:paraId="4E50FAC7"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Closed by</w:t>
            </w:r>
          </w:p>
        </w:tc>
        <w:tc>
          <w:tcPr>
            <w:tcW w:w="4752" w:type="dxa"/>
          </w:tcPr>
          <w:p w14:paraId="13B188C6"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How the design meets it</w:t>
            </w:r>
          </w:p>
        </w:tc>
      </w:tr>
      <w:tr w:rsidR="00330C1B" w14:paraId="631DEF59"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46BC6C0B" w14:textId="77777777" w:rsidR="00330C1B" w:rsidRDefault="00000000">
            <w:r>
              <w:rPr>
                <w:sz w:val="17"/>
              </w:rPr>
              <w:t>F-005-S-001-REQ-B-075</w:t>
            </w:r>
          </w:p>
        </w:tc>
        <w:tc>
          <w:tcPr>
            <w:tcW w:w="936" w:type="dxa"/>
          </w:tcPr>
          <w:p w14:paraId="4589BF0F"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50736CD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§3.5</w:t>
            </w:r>
          </w:p>
        </w:tc>
        <w:tc>
          <w:tcPr>
            <w:tcW w:w="1080" w:type="dxa"/>
          </w:tcPr>
          <w:p w14:paraId="7723CF31"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4752" w:type="dxa"/>
          </w:tcPr>
          <w:p w14:paraId="33D08F8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ClinicalTrialsTool queries clinicaltrials.gov/api/v2/studies by condition.</w:t>
            </w:r>
          </w:p>
        </w:tc>
      </w:tr>
      <w:tr w:rsidR="00330C1B" w14:paraId="31322B08"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0E741EF9" w14:textId="77777777" w:rsidR="00330C1B" w:rsidRDefault="00000000">
            <w:r>
              <w:rPr>
                <w:sz w:val="17"/>
              </w:rPr>
              <w:t>F-005-S-001-REQ-B-076</w:t>
            </w:r>
          </w:p>
        </w:tc>
        <w:tc>
          <w:tcPr>
            <w:tcW w:w="936" w:type="dxa"/>
          </w:tcPr>
          <w:p w14:paraId="17D4F0AE"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5F21FBDB"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§3.5</w:t>
            </w:r>
          </w:p>
        </w:tc>
        <w:tc>
          <w:tcPr>
            <w:tcW w:w="1080" w:type="dxa"/>
          </w:tcPr>
          <w:p w14:paraId="35C7E6B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C-09</w:t>
            </w:r>
          </w:p>
        </w:tc>
        <w:tc>
          <w:tcPr>
            <w:tcW w:w="4752" w:type="dxa"/>
          </w:tcPr>
          <w:p w14:paraId="50E9B784"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trial model projects the registry sections in full so list and detail come from one fetch; the count is requested with the query and reported after the local age test.</w:t>
            </w:r>
          </w:p>
        </w:tc>
      </w:tr>
      <w:tr w:rsidR="00330C1B" w14:paraId="4746B59F"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6CA990D8" w14:textId="77777777" w:rsidR="00330C1B" w:rsidRDefault="00000000">
            <w:r>
              <w:rPr>
                <w:sz w:val="17"/>
              </w:rPr>
              <w:t>F-005-S-001-REQ-B-077</w:t>
            </w:r>
          </w:p>
        </w:tc>
        <w:tc>
          <w:tcPr>
            <w:tcW w:w="936" w:type="dxa"/>
          </w:tcPr>
          <w:p w14:paraId="40269E7D"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249AEA2B"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§3.5</w:t>
            </w:r>
          </w:p>
        </w:tc>
        <w:tc>
          <w:tcPr>
            <w:tcW w:w="1080" w:type="dxa"/>
          </w:tcPr>
          <w:p w14:paraId="66163568"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4752" w:type="dxa"/>
          </w:tcPr>
          <w:p w14:paraId="7D0BC30D"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Condition is the only required field; every other field is optional and absent means unnarrowed.</w:t>
            </w:r>
          </w:p>
        </w:tc>
      </w:tr>
      <w:tr w:rsidR="00330C1B" w14:paraId="258F86F1"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7EB25DD0" w14:textId="77777777" w:rsidR="00330C1B" w:rsidRDefault="00000000">
            <w:r>
              <w:rPr>
                <w:sz w:val="17"/>
              </w:rPr>
              <w:t>F-005-S-001-REQ-B-078</w:t>
            </w:r>
          </w:p>
        </w:tc>
        <w:tc>
          <w:tcPr>
            <w:tcW w:w="936" w:type="dxa"/>
          </w:tcPr>
          <w:p w14:paraId="1BC5F89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14DE6E6F"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§3.5</w:t>
            </w:r>
          </w:p>
        </w:tc>
        <w:tc>
          <w:tcPr>
            <w:tcW w:w="1080" w:type="dxa"/>
          </w:tcPr>
          <w:p w14:paraId="343F46EE"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C-09</w:t>
            </w:r>
          </w:p>
        </w:tc>
        <w:tc>
          <w:tcPr>
            <w:tcW w:w="4752" w:type="dxa"/>
          </w:tcPr>
          <w:p w14:paraId="7A90F18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registry's eligibility bucket does the bulk, then each trial is tested against its own declared minimum and maximum age, because a bucket is coarser than the requirement.</w:t>
            </w:r>
          </w:p>
        </w:tc>
      </w:tr>
      <w:tr w:rsidR="00330C1B" w14:paraId="2F7D0F7E"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0E38816D" w14:textId="77777777" w:rsidR="00330C1B" w:rsidRDefault="00000000">
            <w:r>
              <w:rPr>
                <w:sz w:val="17"/>
              </w:rPr>
              <w:t>F-005-S-001-REQ-B-079</w:t>
            </w:r>
          </w:p>
        </w:tc>
        <w:tc>
          <w:tcPr>
            <w:tcW w:w="936" w:type="dxa"/>
          </w:tcPr>
          <w:p w14:paraId="28C9FD14"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67FEB0D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§3.5</w:t>
            </w:r>
          </w:p>
        </w:tc>
        <w:tc>
          <w:tcPr>
            <w:tcW w:w="1080" w:type="dxa"/>
          </w:tcPr>
          <w:p w14:paraId="30D4353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4752" w:type="dxa"/>
          </w:tcPr>
          <w:p w14:paraId="580AC038"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Sent as a registry filter; the registry expresses sex directly.</w:t>
            </w:r>
          </w:p>
        </w:tc>
      </w:tr>
      <w:tr w:rsidR="00330C1B" w14:paraId="5DF8D88E"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6BC824DF" w14:textId="77777777" w:rsidR="00330C1B" w:rsidRDefault="00000000">
            <w:r>
              <w:rPr>
                <w:sz w:val="17"/>
              </w:rPr>
              <w:t>F-005-S-001-REQ-B-080</w:t>
            </w:r>
          </w:p>
        </w:tc>
        <w:tc>
          <w:tcPr>
            <w:tcW w:w="936" w:type="dxa"/>
          </w:tcPr>
          <w:p w14:paraId="783B5F84"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18CC495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§3.5</w:t>
            </w:r>
          </w:p>
        </w:tc>
        <w:tc>
          <w:tcPr>
            <w:tcW w:w="1080" w:type="dxa"/>
          </w:tcPr>
          <w:p w14:paraId="70271261"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w:t>
            </w:r>
          </w:p>
        </w:tc>
        <w:tc>
          <w:tcPr>
            <w:tcW w:w="4752" w:type="dxa"/>
          </w:tcPr>
          <w:p w14:paraId="25F909C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One parameter with two values; worldwide is the absence of a geographic filter rather than a second query.</w:t>
            </w:r>
          </w:p>
        </w:tc>
      </w:tr>
      <w:tr w:rsidR="00330C1B" w14:paraId="492201E7"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2E98A172" w14:textId="77777777" w:rsidR="00330C1B" w:rsidRDefault="00000000">
            <w:r>
              <w:rPr>
                <w:sz w:val="17"/>
              </w:rPr>
              <w:t>F-005-S-001-REQ-B-081</w:t>
            </w:r>
          </w:p>
        </w:tc>
        <w:tc>
          <w:tcPr>
            <w:tcW w:w="936" w:type="dxa"/>
          </w:tcPr>
          <w:p w14:paraId="30764E6F"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45ABBEC2"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§3.5</w:t>
            </w:r>
          </w:p>
        </w:tc>
        <w:tc>
          <w:tcPr>
            <w:tcW w:w="1080" w:type="dxa"/>
          </w:tcPr>
          <w:p w14:paraId="68C1E86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4752" w:type="dxa"/>
          </w:tcPr>
          <w:p w14:paraId="71FE702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three refinements less those the parameters already carry, handed to EPIC-002-F-010 to put into words.</w:t>
            </w:r>
          </w:p>
        </w:tc>
      </w:tr>
      <w:tr w:rsidR="00330C1B" w14:paraId="3A214709"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8AFE47E" w14:textId="77777777" w:rsidR="00330C1B" w:rsidRDefault="00000000">
            <w:r>
              <w:rPr>
                <w:sz w:val="17"/>
              </w:rPr>
              <w:t>F-005-S-002-REQ-B-007</w:t>
            </w:r>
          </w:p>
        </w:tc>
        <w:tc>
          <w:tcPr>
            <w:tcW w:w="936" w:type="dxa"/>
          </w:tcPr>
          <w:p w14:paraId="4EDD8CF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2476B03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§3.5.1</w:t>
            </w:r>
          </w:p>
        </w:tc>
        <w:tc>
          <w:tcPr>
            <w:tcW w:w="1080" w:type="dxa"/>
          </w:tcPr>
          <w:p w14:paraId="7853BDF8"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w:t>
            </w:r>
          </w:p>
        </w:tc>
        <w:tc>
          <w:tcPr>
            <w:tcW w:w="4752" w:type="dxa"/>
          </w:tcPr>
          <w:p w14:paraId="3FABBA92"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row carries the three dimensions on which trials for one condition actually differ: conditions, age range, sex.</w:t>
            </w:r>
          </w:p>
        </w:tc>
      </w:tr>
      <w:tr w:rsidR="00330C1B" w14:paraId="241CCE2C"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29AEEF80" w14:textId="77777777" w:rsidR="00330C1B" w:rsidRDefault="00000000">
            <w:r>
              <w:rPr>
                <w:sz w:val="17"/>
              </w:rPr>
              <w:t>F-005-S-002-REQ-B-008</w:t>
            </w:r>
          </w:p>
        </w:tc>
        <w:tc>
          <w:tcPr>
            <w:tcW w:w="936" w:type="dxa"/>
          </w:tcPr>
          <w:p w14:paraId="3726C31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6516142D"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§3.5.1</w:t>
            </w:r>
          </w:p>
        </w:tc>
        <w:tc>
          <w:tcPr>
            <w:tcW w:w="1080" w:type="dxa"/>
          </w:tcPr>
          <w:p w14:paraId="1B10FA9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C-10</w:t>
            </w:r>
          </w:p>
        </w:tc>
        <w:tc>
          <w:tcPr>
            <w:tcW w:w="4752" w:type="dxa"/>
          </w:tcPr>
          <w:p w14:paraId="756AFA9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context is echoed by the tool from what it sent to the registry, so a narrowing that did not reach the registry cannot appear as though it had.</w:t>
            </w:r>
          </w:p>
        </w:tc>
      </w:tr>
      <w:tr w:rsidR="00330C1B" w14:paraId="2AA7DE72"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001E3AF1" w14:textId="77777777" w:rsidR="00330C1B" w:rsidRDefault="00000000">
            <w:r>
              <w:rPr>
                <w:sz w:val="17"/>
              </w:rPr>
              <w:t>F-005-S-002-REQ-B-009</w:t>
            </w:r>
          </w:p>
        </w:tc>
        <w:tc>
          <w:tcPr>
            <w:tcW w:w="936" w:type="dxa"/>
          </w:tcPr>
          <w:p w14:paraId="22C7D192"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66BF9359"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§3.5.1</w:t>
            </w:r>
          </w:p>
        </w:tc>
        <w:tc>
          <w:tcPr>
            <w:tcW w:w="1080" w:type="dxa"/>
          </w:tcPr>
          <w:p w14:paraId="5E84A63B"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C-11</w:t>
            </w:r>
          </w:p>
        </w:tc>
        <w:tc>
          <w:tcPr>
            <w:tcW w:w="4752" w:type="dxa"/>
          </w:tcPr>
          <w:p w14:paraId="21EA0AAA"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stage is named where the failure is raised and carried outward as the mode of the exception, rendered as a statement of what was attempted.</w:t>
            </w:r>
          </w:p>
        </w:tc>
      </w:tr>
    </w:tbl>
    <w:p w14:paraId="050D8838" w14:textId="77777777" w:rsidR="00330C1B" w:rsidRDefault="00000000">
      <w:pPr>
        <w:pStyle w:val="Heading3"/>
      </w:pPr>
      <w:r>
        <w:t>EPIC-006-F-006 — 13 requirements</w:t>
      </w:r>
    </w:p>
    <w:tbl>
      <w:tblPr>
        <w:tblStyle w:val="LightGrid-Accent1"/>
        <w:tblW w:w="0" w:type="auto"/>
        <w:tblLook w:val="04A0" w:firstRow="1" w:lastRow="0" w:firstColumn="1" w:lastColumn="0" w:noHBand="0" w:noVBand="1"/>
      </w:tblPr>
      <w:tblGrid>
        <w:gridCol w:w="1471"/>
        <w:gridCol w:w="935"/>
        <w:gridCol w:w="1039"/>
        <w:gridCol w:w="1032"/>
        <w:gridCol w:w="4379"/>
      </w:tblGrid>
      <w:tr w:rsidR="00330C1B" w14:paraId="6719ED22" w14:textId="77777777" w:rsidTr="00330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732F86C9" w14:textId="77777777" w:rsidR="00330C1B" w:rsidRDefault="00000000">
            <w:r>
              <w:rPr>
                <w:sz w:val="18"/>
              </w:rPr>
              <w:t>Requirement</w:t>
            </w:r>
          </w:p>
        </w:tc>
        <w:tc>
          <w:tcPr>
            <w:tcW w:w="936" w:type="dxa"/>
          </w:tcPr>
          <w:p w14:paraId="0152C0F0"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Outcome</w:t>
            </w:r>
          </w:p>
        </w:tc>
        <w:tc>
          <w:tcPr>
            <w:tcW w:w="1080" w:type="dxa"/>
          </w:tcPr>
          <w:p w14:paraId="5EC06AA9"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Section</w:t>
            </w:r>
          </w:p>
        </w:tc>
        <w:tc>
          <w:tcPr>
            <w:tcW w:w="1080" w:type="dxa"/>
          </w:tcPr>
          <w:p w14:paraId="16C8CD6F"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Closed by</w:t>
            </w:r>
          </w:p>
        </w:tc>
        <w:tc>
          <w:tcPr>
            <w:tcW w:w="4752" w:type="dxa"/>
          </w:tcPr>
          <w:p w14:paraId="307DD9D1"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How the design meets it</w:t>
            </w:r>
          </w:p>
        </w:tc>
      </w:tr>
      <w:tr w:rsidR="00330C1B" w14:paraId="7C93B2EA"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68AB12C2" w14:textId="77777777" w:rsidR="00330C1B" w:rsidRDefault="00000000">
            <w:r>
              <w:rPr>
                <w:sz w:val="17"/>
              </w:rPr>
              <w:t>F-006-S-001-REQ-B-001</w:t>
            </w:r>
          </w:p>
        </w:tc>
        <w:tc>
          <w:tcPr>
            <w:tcW w:w="936" w:type="dxa"/>
          </w:tcPr>
          <w:p w14:paraId="05FB7B6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1BBA4A4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§3.7.1, §3.7.2</w:t>
            </w:r>
          </w:p>
        </w:tc>
        <w:tc>
          <w:tcPr>
            <w:tcW w:w="1080" w:type="dxa"/>
          </w:tcPr>
          <w:p w14:paraId="54C1600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C-20</w:t>
            </w:r>
          </w:p>
        </w:tc>
        <w:tc>
          <w:tcPr>
            <w:tcW w:w="4752" w:type="dxa"/>
          </w:tcPr>
          <w:p w14:paraId="198E20F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entity-type clause of _searchable reads the page's entity type; the post-query assertion becomes an entity-type assertion with its force intact.</w:t>
            </w:r>
          </w:p>
        </w:tc>
      </w:tr>
      <w:tr w:rsidR="00330C1B" w14:paraId="20131F38"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4943BFA1" w14:textId="77777777" w:rsidR="00330C1B" w:rsidRDefault="00000000">
            <w:r>
              <w:rPr>
                <w:sz w:val="17"/>
              </w:rPr>
              <w:t>F-006-S-001-REQ-B-002</w:t>
            </w:r>
          </w:p>
        </w:tc>
        <w:tc>
          <w:tcPr>
            <w:tcW w:w="936" w:type="dxa"/>
          </w:tcPr>
          <w:p w14:paraId="471B70CF"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02C38F91"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§3.7.2</w:t>
            </w:r>
          </w:p>
        </w:tc>
        <w:tc>
          <w:tcPr>
            <w:tcW w:w="1080" w:type="dxa"/>
          </w:tcPr>
          <w:p w14:paraId="2367636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w:t>
            </w:r>
          </w:p>
        </w:tc>
        <w:tc>
          <w:tcPr>
            <w:tcW w:w="4752" w:type="dxa"/>
          </w:tcPr>
          <w:p w14:paraId="505D22F6"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A disjunction over the legal business name and the other organization name; a predicate, so no score orders the result.</w:t>
            </w:r>
          </w:p>
        </w:tc>
      </w:tr>
      <w:tr w:rsidR="00330C1B" w14:paraId="6061E30B"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8A177BF" w14:textId="77777777" w:rsidR="00330C1B" w:rsidRDefault="00000000">
            <w:r>
              <w:rPr>
                <w:sz w:val="17"/>
              </w:rPr>
              <w:t>F-006-S-001-REQ-B-003</w:t>
            </w:r>
          </w:p>
        </w:tc>
        <w:tc>
          <w:tcPr>
            <w:tcW w:w="936" w:type="dxa"/>
          </w:tcPr>
          <w:p w14:paraId="057B8A0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6F6B8F8D"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§3.7.2</w:t>
            </w:r>
          </w:p>
        </w:tc>
        <w:tc>
          <w:tcPr>
            <w:tcW w:w="1080" w:type="dxa"/>
          </w:tcPr>
          <w:p w14:paraId="0C6EFFF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4752" w:type="dxa"/>
          </w:tcPr>
          <w:p w14:paraId="195EAEB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An intersection against the taxonomy list: at least one, not all.</w:t>
            </w:r>
          </w:p>
        </w:tc>
      </w:tr>
      <w:tr w:rsidR="00330C1B" w14:paraId="6115E016"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26501628" w14:textId="77777777" w:rsidR="00330C1B" w:rsidRDefault="00000000">
            <w:r>
              <w:rPr>
                <w:sz w:val="17"/>
              </w:rPr>
              <w:t>F-006-S-001-REQ-B-004</w:t>
            </w:r>
          </w:p>
        </w:tc>
        <w:tc>
          <w:tcPr>
            <w:tcW w:w="936" w:type="dxa"/>
          </w:tcPr>
          <w:p w14:paraId="696ECB5B"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5A7C3F31"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§3.7.2</w:t>
            </w:r>
          </w:p>
        </w:tc>
        <w:tc>
          <w:tcPr>
            <w:tcW w:w="1080" w:type="dxa"/>
          </w:tcPr>
          <w:p w14:paraId="6B913289"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w:t>
            </w:r>
          </w:p>
        </w:tc>
        <w:tc>
          <w:tcPr>
            <w:tcW w:w="4752" w:type="dxa"/>
          </w:tcPr>
          <w:p w14:paraId="3C4C95A6"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_practice_address_filter matches an element of practice_addresses and never reads the business address.</w:t>
            </w:r>
          </w:p>
        </w:tc>
      </w:tr>
      <w:tr w:rsidR="00330C1B" w14:paraId="7A96090D"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F42A394" w14:textId="77777777" w:rsidR="00330C1B" w:rsidRDefault="00000000">
            <w:r>
              <w:rPr>
                <w:sz w:val="17"/>
              </w:rPr>
              <w:t>F-006-S-001-REQ-B-005</w:t>
            </w:r>
          </w:p>
        </w:tc>
        <w:tc>
          <w:tcPr>
            <w:tcW w:w="936" w:type="dxa"/>
          </w:tcPr>
          <w:p w14:paraId="5A8A3AB5"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03FB18B6"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§3.7.2</w:t>
            </w:r>
          </w:p>
        </w:tc>
        <w:tc>
          <w:tcPr>
            <w:tcW w:w="1080" w:type="dxa"/>
          </w:tcPr>
          <w:p w14:paraId="52EFA142"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C-20</w:t>
            </w:r>
          </w:p>
        </w:tc>
        <w:tc>
          <w:tcPr>
            <w:tcW w:w="4752" w:type="dxa"/>
          </w:tcPr>
          <w:p w14:paraId="4E0A4215"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active-state clause of _searchable, not a filter the caller may pass.</w:t>
            </w:r>
          </w:p>
        </w:tc>
      </w:tr>
      <w:tr w:rsidR="00330C1B" w14:paraId="489FB3D4"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68E6275D" w14:textId="77777777" w:rsidR="00330C1B" w:rsidRDefault="00000000">
            <w:r>
              <w:rPr>
                <w:sz w:val="17"/>
              </w:rPr>
              <w:t>F-006-S-001-REQ-B-008</w:t>
            </w:r>
          </w:p>
        </w:tc>
        <w:tc>
          <w:tcPr>
            <w:tcW w:w="936" w:type="dxa"/>
          </w:tcPr>
          <w:p w14:paraId="60810D8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51EFC4D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§3.7.2</w:t>
            </w:r>
          </w:p>
        </w:tc>
        <w:tc>
          <w:tcPr>
            <w:tcW w:w="1080" w:type="dxa"/>
          </w:tcPr>
          <w:p w14:paraId="76601232"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w:t>
            </w:r>
          </w:p>
        </w:tc>
        <w:tc>
          <w:tcPr>
            <w:tcW w:w="4752" w:type="dxa"/>
          </w:tcPr>
          <w:p w14:paraId="5EA7060B"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A structured match on the record's authorized_official name fields, each part matching the field or its initial, from the same name decomposition used for a care giver.</w:t>
            </w:r>
          </w:p>
        </w:tc>
      </w:tr>
      <w:tr w:rsidR="00330C1B" w14:paraId="4F52EEA6"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1C2B212" w14:textId="77777777" w:rsidR="00330C1B" w:rsidRDefault="00000000">
            <w:r>
              <w:rPr>
                <w:sz w:val="17"/>
              </w:rPr>
              <w:t>F-006-S-002-REQ-B-007</w:t>
            </w:r>
          </w:p>
        </w:tc>
        <w:tc>
          <w:tcPr>
            <w:tcW w:w="936" w:type="dxa"/>
          </w:tcPr>
          <w:p w14:paraId="15361F27"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5855E10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§3.7.3</w:t>
            </w:r>
          </w:p>
        </w:tc>
        <w:tc>
          <w:tcPr>
            <w:tcW w:w="1080" w:type="dxa"/>
          </w:tcPr>
          <w:p w14:paraId="71A5A1ED"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4752" w:type="dxa"/>
          </w:tcPr>
          <w:p w14:paraId="7A41F4A2"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five things are the projection, not the renderer; the type is the primary taxonomy label resolved server-side.</w:t>
            </w:r>
          </w:p>
        </w:tc>
      </w:tr>
      <w:tr w:rsidR="00330C1B" w14:paraId="6C77A6EE"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B9A43A0" w14:textId="77777777" w:rsidR="00330C1B" w:rsidRDefault="00000000">
            <w:r>
              <w:rPr>
                <w:sz w:val="17"/>
              </w:rPr>
              <w:t>F-006-S-003-REQ-B-003</w:t>
            </w:r>
          </w:p>
        </w:tc>
        <w:tc>
          <w:tcPr>
            <w:tcW w:w="936" w:type="dxa"/>
          </w:tcPr>
          <w:p w14:paraId="28212B7E"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1B8E368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§3.7.3</w:t>
            </w:r>
          </w:p>
        </w:tc>
        <w:tc>
          <w:tcPr>
            <w:tcW w:w="1080" w:type="dxa"/>
          </w:tcPr>
          <w:p w14:paraId="39CD890B"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w:t>
            </w:r>
          </w:p>
        </w:tc>
        <w:tc>
          <w:tcPr>
            <w:tcW w:w="4752" w:type="dxa"/>
          </w:tcPr>
          <w:p w14:paraId="1D0F3BD9"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deselect verb on the facility selection set, taking an NPI.</w:t>
            </w:r>
          </w:p>
        </w:tc>
      </w:tr>
      <w:tr w:rsidR="00330C1B" w14:paraId="7AB9856D"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454BF405" w14:textId="77777777" w:rsidR="00330C1B" w:rsidRDefault="00000000">
            <w:r>
              <w:rPr>
                <w:sz w:val="17"/>
              </w:rPr>
              <w:t>F-006-S-003-REQ-B-004</w:t>
            </w:r>
          </w:p>
        </w:tc>
        <w:tc>
          <w:tcPr>
            <w:tcW w:w="936" w:type="dxa"/>
          </w:tcPr>
          <w:p w14:paraId="0DDD2B87"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78DB86FF"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§3.7.3</w:t>
            </w:r>
          </w:p>
        </w:tc>
        <w:tc>
          <w:tcPr>
            <w:tcW w:w="1080" w:type="dxa"/>
          </w:tcPr>
          <w:p w14:paraId="18D6E43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4752" w:type="dxa"/>
          </w:tcPr>
          <w:p w14:paraId="06FEDEE4"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A second, narrower projection of two fields: the selected row is a reminder, not a second result row.</w:t>
            </w:r>
          </w:p>
        </w:tc>
      </w:tr>
      <w:tr w:rsidR="00330C1B" w14:paraId="04CE6D8D"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A409412" w14:textId="77777777" w:rsidR="00330C1B" w:rsidRDefault="00000000">
            <w:r>
              <w:rPr>
                <w:sz w:val="17"/>
              </w:rPr>
              <w:t>F-006-S-004-REQ-B-001</w:t>
            </w:r>
          </w:p>
        </w:tc>
        <w:tc>
          <w:tcPr>
            <w:tcW w:w="936" w:type="dxa"/>
          </w:tcPr>
          <w:p w14:paraId="5A7D388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10EF540A"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§3.7.4</w:t>
            </w:r>
          </w:p>
        </w:tc>
        <w:tc>
          <w:tcPr>
            <w:tcW w:w="1080" w:type="dxa"/>
          </w:tcPr>
          <w:p w14:paraId="4877BCCE"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C-04</w:t>
            </w:r>
          </w:p>
        </w:tc>
        <w:tc>
          <w:tcPr>
            <w:tcW w:w="4752" w:type="dxa"/>
          </w:tcPr>
          <w:p w14:paraId="3492F504"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summary builder parameterised by page, naming the page's search term.</w:t>
            </w:r>
          </w:p>
        </w:tc>
      </w:tr>
      <w:tr w:rsidR="00330C1B" w14:paraId="3DBA5FA2"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7E4D7E8E" w14:textId="77777777" w:rsidR="00330C1B" w:rsidRDefault="00000000">
            <w:r>
              <w:rPr>
                <w:sz w:val="17"/>
              </w:rPr>
              <w:t>F-006-S-004-REQ-B-002</w:t>
            </w:r>
          </w:p>
        </w:tc>
        <w:tc>
          <w:tcPr>
            <w:tcW w:w="936" w:type="dxa"/>
          </w:tcPr>
          <w:p w14:paraId="7DFD009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6E0CE6E3"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§3.7.4, §3.2.6</w:t>
            </w:r>
          </w:p>
        </w:tc>
        <w:tc>
          <w:tcPr>
            <w:tcW w:w="1080" w:type="dxa"/>
          </w:tcPr>
          <w:p w14:paraId="000295AB"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C-04</w:t>
            </w:r>
          </w:p>
        </w:tc>
        <w:tc>
          <w:tcPr>
            <w:tcW w:w="4752" w:type="dxa"/>
          </w:tcPr>
          <w:p w14:paraId="7E3476B1"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total less the page count from the same aggregation as the page.</w:t>
            </w:r>
          </w:p>
        </w:tc>
      </w:tr>
      <w:tr w:rsidR="00330C1B" w14:paraId="7002E54A"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1F3B0E1" w14:textId="77777777" w:rsidR="00330C1B" w:rsidRDefault="00000000">
            <w:r>
              <w:rPr>
                <w:sz w:val="17"/>
              </w:rPr>
              <w:t>F-006-S-004-REQ-B-003</w:t>
            </w:r>
          </w:p>
        </w:tc>
        <w:tc>
          <w:tcPr>
            <w:tcW w:w="936" w:type="dxa"/>
          </w:tcPr>
          <w:p w14:paraId="6CD57835"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54718C9A"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§3.7.4</w:t>
            </w:r>
          </w:p>
        </w:tc>
        <w:tc>
          <w:tcPr>
            <w:tcW w:w="1080" w:type="dxa"/>
          </w:tcPr>
          <w:p w14:paraId="232BD9D2"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C-04</w:t>
            </w:r>
          </w:p>
        </w:tc>
        <w:tc>
          <w:tcPr>
            <w:tcW w:w="4752" w:type="dxa"/>
          </w:tcPr>
          <w:p w14:paraId="64501A04"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geography named is read back from the clause the query actually built, so a supplied but unused geography is not reported.</w:t>
            </w:r>
          </w:p>
        </w:tc>
      </w:tr>
      <w:tr w:rsidR="00330C1B" w14:paraId="442DDF3D"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A233FEB" w14:textId="77777777" w:rsidR="00330C1B" w:rsidRDefault="00000000">
            <w:r>
              <w:rPr>
                <w:sz w:val="17"/>
              </w:rPr>
              <w:t>F-006-S-004-REQ-B-004</w:t>
            </w:r>
          </w:p>
        </w:tc>
        <w:tc>
          <w:tcPr>
            <w:tcW w:w="936" w:type="dxa"/>
          </w:tcPr>
          <w:p w14:paraId="7557F3E8"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4A350DC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§3.7.4</w:t>
            </w:r>
          </w:p>
        </w:tc>
        <w:tc>
          <w:tcPr>
            <w:tcW w:w="1080" w:type="dxa"/>
          </w:tcPr>
          <w:p w14:paraId="705F81DB"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C-04</w:t>
            </w:r>
          </w:p>
        </w:tc>
        <w:tc>
          <w:tcPr>
            <w:tcW w:w="4752" w:type="dxa"/>
          </w:tcPr>
          <w:p w14:paraId="1B05AF96"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Each dimension offered only when the geography does not already carry it, the postal code included; this is the corrected form of F-001-S-005-REQ-B-008.</w:t>
            </w:r>
          </w:p>
        </w:tc>
      </w:tr>
    </w:tbl>
    <w:p w14:paraId="2EDA0785" w14:textId="77777777" w:rsidR="00330C1B" w:rsidRDefault="00000000">
      <w:pPr>
        <w:pStyle w:val="Heading3"/>
      </w:pPr>
      <w:r>
        <w:t>EPIC-006-F-007 — 14 requirements</w:t>
      </w:r>
    </w:p>
    <w:tbl>
      <w:tblPr>
        <w:tblStyle w:val="LightGrid-Accent1"/>
        <w:tblW w:w="0" w:type="auto"/>
        <w:tblLook w:val="04A0" w:firstRow="1" w:lastRow="0" w:firstColumn="1" w:lastColumn="0" w:noHBand="0" w:noVBand="1"/>
      </w:tblPr>
      <w:tblGrid>
        <w:gridCol w:w="1472"/>
        <w:gridCol w:w="935"/>
        <w:gridCol w:w="1039"/>
        <w:gridCol w:w="1032"/>
        <w:gridCol w:w="4378"/>
      </w:tblGrid>
      <w:tr w:rsidR="00330C1B" w14:paraId="38FA85B0" w14:textId="77777777" w:rsidTr="00330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7D5F436B" w14:textId="77777777" w:rsidR="00330C1B" w:rsidRDefault="00000000">
            <w:r>
              <w:rPr>
                <w:sz w:val="18"/>
              </w:rPr>
              <w:t>Requirement</w:t>
            </w:r>
          </w:p>
        </w:tc>
        <w:tc>
          <w:tcPr>
            <w:tcW w:w="936" w:type="dxa"/>
          </w:tcPr>
          <w:p w14:paraId="4AAA525C"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Outcome</w:t>
            </w:r>
          </w:p>
        </w:tc>
        <w:tc>
          <w:tcPr>
            <w:tcW w:w="1080" w:type="dxa"/>
          </w:tcPr>
          <w:p w14:paraId="0326823F"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Section</w:t>
            </w:r>
          </w:p>
        </w:tc>
        <w:tc>
          <w:tcPr>
            <w:tcW w:w="1080" w:type="dxa"/>
          </w:tcPr>
          <w:p w14:paraId="775F50CC"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Closed by</w:t>
            </w:r>
          </w:p>
        </w:tc>
        <w:tc>
          <w:tcPr>
            <w:tcW w:w="4752" w:type="dxa"/>
          </w:tcPr>
          <w:p w14:paraId="1EAB9EDF"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How the design meets it</w:t>
            </w:r>
          </w:p>
        </w:tc>
      </w:tr>
      <w:tr w:rsidR="00330C1B" w14:paraId="6D78DB20"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7DE77F02" w14:textId="77777777" w:rsidR="00330C1B" w:rsidRDefault="00000000">
            <w:r>
              <w:rPr>
                <w:sz w:val="17"/>
              </w:rPr>
              <w:t>F-007-S-001-REQ-B-001</w:t>
            </w:r>
          </w:p>
        </w:tc>
        <w:tc>
          <w:tcPr>
            <w:tcW w:w="936" w:type="dxa"/>
          </w:tcPr>
          <w:p w14:paraId="35007A45"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6E5F7D5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§3.7.5, §3.3.1</w:t>
            </w:r>
          </w:p>
        </w:tc>
        <w:tc>
          <w:tcPr>
            <w:tcW w:w="1080" w:type="dxa"/>
          </w:tcPr>
          <w:p w14:paraId="60591986"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C-06, C-07, C-08</w:t>
            </w:r>
          </w:p>
        </w:tc>
        <w:tc>
          <w:tcPr>
            <w:tcW w:w="4752" w:type="dxa"/>
          </w:tcPr>
          <w:p w14:paraId="5535011F"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provider panel with the identity block exchanged; all of §3.3.1 applies unchanged and is inherited as obligation, not as implementation.</w:t>
            </w:r>
          </w:p>
        </w:tc>
      </w:tr>
      <w:tr w:rsidR="00330C1B" w14:paraId="678ABC25"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507B44CC" w14:textId="77777777" w:rsidR="00330C1B" w:rsidRDefault="00000000">
            <w:r>
              <w:rPr>
                <w:sz w:val="17"/>
              </w:rPr>
              <w:t>F-007-S-001-REQ-B-002</w:t>
            </w:r>
          </w:p>
        </w:tc>
        <w:tc>
          <w:tcPr>
            <w:tcW w:w="936" w:type="dxa"/>
          </w:tcPr>
          <w:p w14:paraId="240B2EC9"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5C0EA55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§3.7.5</w:t>
            </w:r>
          </w:p>
        </w:tc>
        <w:tc>
          <w:tcPr>
            <w:tcW w:w="1080" w:type="dxa"/>
          </w:tcPr>
          <w:p w14:paraId="38E9F005"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w:t>
            </w:r>
          </w:p>
        </w:tc>
        <w:tc>
          <w:tcPr>
            <w:tcW w:w="4752" w:type="dxa"/>
          </w:tcPr>
          <w:p w14:paraId="01A9BB8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A second identity projection selected by entity type; the other-name kind rendered as its label, not its code.</w:t>
            </w:r>
          </w:p>
        </w:tc>
      </w:tr>
      <w:tr w:rsidR="00330C1B" w14:paraId="29A69D2E"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5060BC72" w14:textId="77777777" w:rsidR="00330C1B" w:rsidRDefault="00000000">
            <w:r>
              <w:rPr>
                <w:sz w:val="17"/>
              </w:rPr>
              <w:t>F-007-S-001-REQ-B-003</w:t>
            </w:r>
          </w:p>
        </w:tc>
        <w:tc>
          <w:tcPr>
            <w:tcW w:w="936" w:type="dxa"/>
          </w:tcPr>
          <w:p w14:paraId="2A2A4106"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320D5454"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§3.7.5</w:t>
            </w:r>
          </w:p>
        </w:tc>
        <w:tc>
          <w:tcPr>
            <w:tcW w:w="1080" w:type="dxa"/>
          </w:tcPr>
          <w:p w14:paraId="4468E97D"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4752" w:type="dxa"/>
          </w:tcPr>
          <w:p w14:paraId="07D24B7D"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Conditional on the subpart marker; the parent's name and never its identifier.</w:t>
            </w:r>
          </w:p>
        </w:tc>
      </w:tr>
      <w:tr w:rsidR="00330C1B" w14:paraId="34DC711E"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77E8ABF9" w14:textId="77777777" w:rsidR="00330C1B" w:rsidRDefault="00000000">
            <w:r>
              <w:rPr>
                <w:sz w:val="17"/>
              </w:rPr>
              <w:t>F-007-S-001-REQ-B-005</w:t>
            </w:r>
          </w:p>
        </w:tc>
        <w:tc>
          <w:tcPr>
            <w:tcW w:w="936" w:type="dxa"/>
          </w:tcPr>
          <w:p w14:paraId="341A6D7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74E71BF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§3.7.5, §5.1</w:t>
            </w:r>
          </w:p>
        </w:tc>
        <w:tc>
          <w:tcPr>
            <w:tcW w:w="1080" w:type="dxa"/>
          </w:tcPr>
          <w:p w14:paraId="6128BE7A"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C-12</w:t>
            </w:r>
          </w:p>
        </w:tc>
        <w:tc>
          <w:tcPr>
            <w:tcW w:w="4752" w:type="dxa"/>
          </w:tcPr>
          <w:p w14:paraId="73202FF3"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Three enforcement points: not in the schema, not in the merge allowlist, not in the projection. The allowlist at the write boundary is the load-bearing one.</w:t>
            </w:r>
          </w:p>
        </w:tc>
      </w:tr>
      <w:tr w:rsidR="00330C1B" w14:paraId="6CA2E595"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07EC5ED9" w14:textId="77777777" w:rsidR="00330C1B" w:rsidRDefault="00000000">
            <w:r>
              <w:rPr>
                <w:sz w:val="17"/>
              </w:rPr>
              <w:t>F-007-S-001-REQ-B-006</w:t>
            </w:r>
          </w:p>
        </w:tc>
        <w:tc>
          <w:tcPr>
            <w:tcW w:w="936" w:type="dxa"/>
          </w:tcPr>
          <w:p w14:paraId="11FF613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0D41E955"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§3.7.5</w:t>
            </w:r>
          </w:p>
        </w:tc>
        <w:tc>
          <w:tcPr>
            <w:tcW w:w="1080" w:type="dxa"/>
          </w:tcPr>
          <w:p w14:paraId="34A10DA3"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4752" w:type="dxa"/>
          </w:tcPr>
          <w:p w14:paraId="2195030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registry's search for this NPI, which shows the organization the NPI is enumerated to.</w:t>
            </w:r>
          </w:p>
        </w:tc>
      </w:tr>
      <w:tr w:rsidR="00330C1B" w14:paraId="1C415CDA"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404E797E" w14:textId="77777777" w:rsidR="00330C1B" w:rsidRDefault="00000000">
            <w:r>
              <w:rPr>
                <w:sz w:val="17"/>
              </w:rPr>
              <w:t>F-007-S-001-REQ-B-007</w:t>
            </w:r>
          </w:p>
        </w:tc>
        <w:tc>
          <w:tcPr>
            <w:tcW w:w="936" w:type="dxa"/>
          </w:tcPr>
          <w:p w14:paraId="1D97B41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5FE382C2"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§3.7.5</w:t>
            </w:r>
          </w:p>
        </w:tc>
        <w:tc>
          <w:tcPr>
            <w:tcW w:w="1080" w:type="dxa"/>
          </w:tcPr>
          <w:p w14:paraId="361C281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C-08</w:t>
            </w:r>
          </w:p>
        </w:tc>
        <w:tc>
          <w:tcPr>
            <w:tcW w:w="4752" w:type="dxa"/>
          </w:tcPr>
          <w:p w14:paraId="713BBFFE"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A second table beside STATE_BOARDS, because the authority that licenses a person is not the authority that licenses a place.</w:t>
            </w:r>
          </w:p>
        </w:tc>
      </w:tr>
      <w:tr w:rsidR="00330C1B" w14:paraId="685DC329"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293C820" w14:textId="77777777" w:rsidR="00330C1B" w:rsidRDefault="00000000">
            <w:r>
              <w:rPr>
                <w:sz w:val="17"/>
              </w:rPr>
              <w:t>F-007-S-001-REQ-B-008</w:t>
            </w:r>
          </w:p>
        </w:tc>
        <w:tc>
          <w:tcPr>
            <w:tcW w:w="936" w:type="dxa"/>
          </w:tcPr>
          <w:p w14:paraId="4A713E8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757999A3"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§3.7.5</w:t>
            </w:r>
          </w:p>
        </w:tc>
        <w:tc>
          <w:tcPr>
            <w:tcW w:w="1080" w:type="dxa"/>
          </w:tcPr>
          <w:p w14:paraId="5507EA11"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4752" w:type="dxa"/>
          </w:tcPr>
          <w:p w14:paraId="2BAB5EB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Classification, specialization and definition are carried on the record, resolved when it was written; nothing is resolved at display time.</w:t>
            </w:r>
          </w:p>
        </w:tc>
      </w:tr>
      <w:tr w:rsidR="00330C1B" w14:paraId="0CC7992A"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7014E192" w14:textId="77777777" w:rsidR="00330C1B" w:rsidRDefault="00000000">
            <w:r>
              <w:rPr>
                <w:sz w:val="17"/>
              </w:rPr>
              <w:t>F-007-S-001-REQ-B-009</w:t>
            </w:r>
          </w:p>
        </w:tc>
        <w:tc>
          <w:tcPr>
            <w:tcW w:w="936" w:type="dxa"/>
          </w:tcPr>
          <w:p w14:paraId="6C1E8A88"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6AB58435"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§3.7.5</w:t>
            </w:r>
          </w:p>
        </w:tc>
        <w:tc>
          <w:tcPr>
            <w:tcW w:w="1080" w:type="dxa"/>
          </w:tcPr>
          <w:p w14:paraId="509DC862"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w:t>
            </w:r>
          </w:p>
        </w:tc>
        <w:tc>
          <w:tcPr>
            <w:tcW w:w="4752" w:type="dxa"/>
          </w:tcPr>
          <w:p w14:paraId="501D3D5B"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panel is a complete rendering of the record; B-005 constrains what is written, so the two do not conflict.</w:t>
            </w:r>
          </w:p>
        </w:tc>
      </w:tr>
      <w:tr w:rsidR="00330C1B" w14:paraId="5ED38172"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604B9036" w14:textId="77777777" w:rsidR="00330C1B" w:rsidRDefault="00000000">
            <w:r>
              <w:rPr>
                <w:sz w:val="17"/>
              </w:rPr>
              <w:t>F-007-S-002-REQ-B-001</w:t>
            </w:r>
          </w:p>
        </w:tc>
        <w:tc>
          <w:tcPr>
            <w:tcW w:w="936" w:type="dxa"/>
          </w:tcPr>
          <w:p w14:paraId="4DE84B0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6393E69F"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§3.7.6</w:t>
            </w:r>
          </w:p>
        </w:tc>
        <w:tc>
          <w:tcPr>
            <w:tcW w:w="1080" w:type="dxa"/>
          </w:tcPr>
          <w:p w14:paraId="3C0344B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4752" w:type="dxa"/>
          </w:tcPr>
          <w:p w14:paraId="647104D6"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Five fields from the record, the middle name conditional; the telephone is not among the five and is not shown.</w:t>
            </w:r>
          </w:p>
        </w:tc>
      </w:tr>
      <w:tr w:rsidR="00330C1B" w14:paraId="647903E3"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7319EE58" w14:textId="77777777" w:rsidR="00330C1B" w:rsidRDefault="00000000">
            <w:r>
              <w:rPr>
                <w:sz w:val="17"/>
              </w:rPr>
              <w:t>F-007-S-002-REQ-B-002</w:t>
            </w:r>
          </w:p>
        </w:tc>
        <w:tc>
          <w:tcPr>
            <w:tcW w:w="936" w:type="dxa"/>
          </w:tcPr>
          <w:p w14:paraId="44D99071"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69871D3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§3.7.6</w:t>
            </w:r>
          </w:p>
        </w:tc>
        <w:tc>
          <w:tcPr>
            <w:tcW w:w="1080" w:type="dxa"/>
          </w:tcPr>
          <w:p w14:paraId="7F796CFF"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w:t>
            </w:r>
          </w:p>
        </w:tc>
        <w:tc>
          <w:tcPr>
            <w:tcW w:w="4752" w:type="dxa"/>
          </w:tcPr>
          <w:p w14:paraId="7057698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Labelled as the record's authorized official, because the record carries an administrative contact as a distinct person.</w:t>
            </w:r>
          </w:p>
        </w:tc>
      </w:tr>
      <w:tr w:rsidR="00330C1B" w14:paraId="4FF032A3"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1970830" w14:textId="77777777" w:rsidR="00330C1B" w:rsidRDefault="00000000">
            <w:r>
              <w:rPr>
                <w:sz w:val="17"/>
              </w:rPr>
              <w:t>F-007-S-003-REQ-B-001</w:t>
            </w:r>
          </w:p>
        </w:tc>
        <w:tc>
          <w:tcPr>
            <w:tcW w:w="936" w:type="dxa"/>
          </w:tcPr>
          <w:p w14:paraId="6A21E26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30F7F99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§3.7.7, §3.3.2</w:t>
            </w:r>
          </w:p>
        </w:tc>
        <w:tc>
          <w:tcPr>
            <w:tcW w:w="1080" w:type="dxa"/>
          </w:tcPr>
          <w:p w14:paraId="342DE93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4752" w:type="dxa"/>
          </w:tcPr>
          <w:p w14:paraId="6058F65D"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same four-step cycle; the registry query is by NPI and is indifferent to entity type.</w:t>
            </w:r>
          </w:p>
        </w:tc>
      </w:tr>
      <w:tr w:rsidR="00330C1B" w14:paraId="5D833D93"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4CD383C9" w14:textId="77777777" w:rsidR="00330C1B" w:rsidRDefault="00000000">
            <w:r>
              <w:rPr>
                <w:sz w:val="17"/>
              </w:rPr>
              <w:t>F-007-S-003-REQ-B-002</w:t>
            </w:r>
          </w:p>
        </w:tc>
        <w:tc>
          <w:tcPr>
            <w:tcW w:w="936" w:type="dxa"/>
          </w:tcPr>
          <w:p w14:paraId="6973976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12850F89"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§3.7.7</w:t>
            </w:r>
          </w:p>
        </w:tc>
        <w:tc>
          <w:tcPr>
            <w:tcW w:w="1080" w:type="dxa"/>
          </w:tcPr>
          <w:p w14:paraId="15B1B391"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C-12</w:t>
            </w:r>
          </w:p>
        </w:tc>
        <w:tc>
          <w:tcPr>
            <w:tcW w:w="4752" w:type="dxa"/>
          </w:tcPr>
          <w:p w14:paraId="5D428F6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merge is field-allowlisted by entity type, reading the individual/organization partition that provider_embedding.py already states.</w:t>
            </w:r>
          </w:p>
        </w:tc>
      </w:tr>
      <w:tr w:rsidR="00330C1B" w14:paraId="62C28773"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0EDE193B" w14:textId="77777777" w:rsidR="00330C1B" w:rsidRDefault="00000000">
            <w:r>
              <w:rPr>
                <w:sz w:val="17"/>
              </w:rPr>
              <w:t>F-007-S-003-REQ-B-003</w:t>
            </w:r>
          </w:p>
        </w:tc>
        <w:tc>
          <w:tcPr>
            <w:tcW w:w="936" w:type="dxa"/>
          </w:tcPr>
          <w:p w14:paraId="797AA454"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70FF17AF"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§3.7.7</w:t>
            </w:r>
          </w:p>
        </w:tc>
        <w:tc>
          <w:tcPr>
            <w:tcW w:w="1080" w:type="dxa"/>
          </w:tcPr>
          <w:p w14:paraId="053C8771"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4752" w:type="dxa"/>
          </w:tcPr>
          <w:p w14:paraId="7E24BF0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live registry answer states the enumeration type; the check is on that answer and not on the stored record, which is what would be wrong.</w:t>
            </w:r>
          </w:p>
        </w:tc>
      </w:tr>
      <w:tr w:rsidR="00330C1B" w14:paraId="03532291"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5BD34149" w14:textId="77777777" w:rsidR="00330C1B" w:rsidRDefault="00000000">
            <w:r>
              <w:rPr>
                <w:sz w:val="17"/>
              </w:rPr>
              <w:t>F-007-S-003-REQ-B-004</w:t>
            </w:r>
          </w:p>
        </w:tc>
        <w:tc>
          <w:tcPr>
            <w:tcW w:w="936" w:type="dxa"/>
          </w:tcPr>
          <w:p w14:paraId="527C66AF"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097C2743"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§3.7.7</w:t>
            </w:r>
          </w:p>
        </w:tc>
        <w:tc>
          <w:tcPr>
            <w:tcW w:w="1080" w:type="dxa"/>
          </w:tcPr>
          <w:p w14:paraId="7AFAE71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w:t>
            </w:r>
          </w:p>
        </w:tc>
        <w:tc>
          <w:tcPr>
            <w:tcW w:w="4752" w:type="dxa"/>
          </w:tcPr>
          <w:p w14:paraId="06804E93"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one condition under which the detail is withheld, distinct from the registry not answering.</w:t>
            </w:r>
          </w:p>
        </w:tc>
      </w:tr>
    </w:tbl>
    <w:p w14:paraId="2761BAE4" w14:textId="77777777" w:rsidR="00330C1B" w:rsidRDefault="00000000">
      <w:pPr>
        <w:pStyle w:val="Heading3"/>
      </w:pPr>
      <w:r>
        <w:t>EPIC-006-F-008 — 42 requirements</w:t>
      </w:r>
    </w:p>
    <w:tbl>
      <w:tblPr>
        <w:tblStyle w:val="LightGrid-Accent1"/>
        <w:tblW w:w="0" w:type="auto"/>
        <w:tblLook w:val="04A0" w:firstRow="1" w:lastRow="0" w:firstColumn="1" w:lastColumn="0" w:noHBand="0" w:noVBand="1"/>
      </w:tblPr>
      <w:tblGrid>
        <w:gridCol w:w="1475"/>
        <w:gridCol w:w="935"/>
        <w:gridCol w:w="1043"/>
        <w:gridCol w:w="1036"/>
        <w:gridCol w:w="4367"/>
      </w:tblGrid>
      <w:tr w:rsidR="00330C1B" w14:paraId="6417FF33" w14:textId="77777777" w:rsidTr="00330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6B4B88BB" w14:textId="77777777" w:rsidR="00330C1B" w:rsidRDefault="00000000">
            <w:r>
              <w:rPr>
                <w:sz w:val="18"/>
              </w:rPr>
              <w:t>Requirement</w:t>
            </w:r>
          </w:p>
        </w:tc>
        <w:tc>
          <w:tcPr>
            <w:tcW w:w="936" w:type="dxa"/>
          </w:tcPr>
          <w:p w14:paraId="4BC95EDA"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Outcome</w:t>
            </w:r>
          </w:p>
        </w:tc>
        <w:tc>
          <w:tcPr>
            <w:tcW w:w="1080" w:type="dxa"/>
          </w:tcPr>
          <w:p w14:paraId="0748A0D9"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Section</w:t>
            </w:r>
          </w:p>
        </w:tc>
        <w:tc>
          <w:tcPr>
            <w:tcW w:w="1080" w:type="dxa"/>
          </w:tcPr>
          <w:p w14:paraId="084F5B89"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Closed by</w:t>
            </w:r>
          </w:p>
        </w:tc>
        <w:tc>
          <w:tcPr>
            <w:tcW w:w="4752" w:type="dxa"/>
          </w:tcPr>
          <w:p w14:paraId="67773ACF"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How the design meets it</w:t>
            </w:r>
          </w:p>
        </w:tc>
      </w:tr>
      <w:tr w:rsidR="00330C1B" w14:paraId="76858F7D"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07A625DE" w14:textId="77777777" w:rsidR="00330C1B" w:rsidRDefault="00000000">
            <w:r>
              <w:rPr>
                <w:sz w:val="17"/>
              </w:rPr>
              <w:t>F-008-S-001-REQ-B-001</w:t>
            </w:r>
          </w:p>
        </w:tc>
        <w:tc>
          <w:tcPr>
            <w:tcW w:w="936" w:type="dxa"/>
          </w:tcPr>
          <w:p w14:paraId="0C075D1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1189F71F"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§3.8.1</w:t>
            </w:r>
          </w:p>
        </w:tc>
        <w:tc>
          <w:tcPr>
            <w:tcW w:w="1080" w:type="dxa"/>
          </w:tcPr>
          <w:p w14:paraId="74DA1E9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C-13</w:t>
            </w:r>
          </w:p>
        </w:tc>
        <w:tc>
          <w:tcPr>
            <w:tcW w:w="4752" w:type="dxa"/>
          </w:tcPr>
          <w:p w14:paraId="6ED4D894"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A name is a pair, page and attribute. There is no short form and no default page.</w:t>
            </w:r>
          </w:p>
        </w:tc>
      </w:tr>
      <w:tr w:rsidR="00330C1B" w14:paraId="490615E4"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7CDE93A3" w14:textId="77777777" w:rsidR="00330C1B" w:rsidRDefault="00000000">
            <w:r>
              <w:rPr>
                <w:sz w:val="17"/>
              </w:rPr>
              <w:t>F-008-S-001-REQ-B-002</w:t>
            </w:r>
          </w:p>
        </w:tc>
        <w:tc>
          <w:tcPr>
            <w:tcW w:w="936" w:type="dxa"/>
          </w:tcPr>
          <w:p w14:paraId="01D2BD58"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0CB68674"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§3.8.1</w:t>
            </w:r>
          </w:p>
        </w:tc>
        <w:tc>
          <w:tcPr>
            <w:tcW w:w="1080" w:type="dxa"/>
          </w:tcPr>
          <w:p w14:paraId="5150CD6F"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C-13</w:t>
            </w:r>
          </w:p>
        </w:tc>
        <w:tc>
          <w:tcPr>
            <w:tcW w:w="4752" w:type="dxa"/>
          </w:tcPr>
          <w:p w14:paraId="23E5FC2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four pages are fixed in validation, not configured; a fifth page is a new feature.</w:t>
            </w:r>
          </w:p>
        </w:tc>
      </w:tr>
      <w:tr w:rsidR="00330C1B" w14:paraId="6E9D5406"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0982A37F" w14:textId="77777777" w:rsidR="00330C1B" w:rsidRDefault="00000000">
            <w:r>
              <w:rPr>
                <w:sz w:val="17"/>
              </w:rPr>
              <w:t>F-008-S-001-REQ-B-003</w:t>
            </w:r>
          </w:p>
        </w:tc>
        <w:tc>
          <w:tcPr>
            <w:tcW w:w="936" w:type="dxa"/>
          </w:tcPr>
          <w:p w14:paraId="73C7068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3552E04F"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§3.8.1</w:t>
            </w:r>
          </w:p>
        </w:tc>
        <w:tc>
          <w:tcPr>
            <w:tcW w:w="1080" w:type="dxa"/>
          </w:tcPr>
          <w:p w14:paraId="4773FA0F"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C-13</w:t>
            </w:r>
          </w:p>
        </w:tc>
        <w:tc>
          <w:tcPr>
            <w:tcW w:w="4752" w:type="dxa"/>
          </w:tcPr>
          <w:p w14:paraId="474CF69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page is checked before the attribute is examined.</w:t>
            </w:r>
          </w:p>
        </w:tc>
      </w:tr>
      <w:tr w:rsidR="00330C1B" w14:paraId="351A4FDE"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24AD6178" w14:textId="77777777" w:rsidR="00330C1B" w:rsidRDefault="00000000">
            <w:r>
              <w:rPr>
                <w:sz w:val="17"/>
              </w:rPr>
              <w:t>F-008-S-001-REQ-B-004</w:t>
            </w:r>
          </w:p>
        </w:tc>
        <w:tc>
          <w:tcPr>
            <w:tcW w:w="936" w:type="dxa"/>
          </w:tcPr>
          <w:p w14:paraId="2A80F2AA"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2FEA34D5"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§3.8.1</w:t>
            </w:r>
          </w:p>
        </w:tc>
        <w:tc>
          <w:tcPr>
            <w:tcW w:w="1080" w:type="dxa"/>
          </w:tcPr>
          <w:p w14:paraId="46F99763"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C-13</w:t>
            </w:r>
          </w:p>
        </w:tc>
        <w:tc>
          <w:tcPr>
            <w:tcW w:w="4752" w:type="dxa"/>
          </w:tcPr>
          <w:p w14:paraId="703179CB"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page's declaration is the attribute allowlist.</w:t>
            </w:r>
          </w:p>
        </w:tc>
      </w:tr>
      <w:tr w:rsidR="00330C1B" w14:paraId="76560FAA"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4D76B983" w14:textId="77777777" w:rsidR="00330C1B" w:rsidRDefault="00000000">
            <w:r>
              <w:rPr>
                <w:sz w:val="17"/>
              </w:rPr>
              <w:t>F-008-S-001-REQ-B-005</w:t>
            </w:r>
          </w:p>
        </w:tc>
        <w:tc>
          <w:tcPr>
            <w:tcW w:w="936" w:type="dxa"/>
          </w:tcPr>
          <w:p w14:paraId="5EB7A377"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4606F402"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§3.8.1</w:t>
            </w:r>
          </w:p>
        </w:tc>
        <w:tc>
          <w:tcPr>
            <w:tcW w:w="1080" w:type="dxa"/>
          </w:tcPr>
          <w:p w14:paraId="13CBBA2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C-13</w:t>
            </w:r>
          </w:p>
        </w:tc>
        <w:tc>
          <w:tcPr>
            <w:tcW w:w="4752" w:type="dxa"/>
          </w:tcPr>
          <w:p w14:paraId="09B16AA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One map per page, so a write addresses one map and there is no shared slot to collide in.</w:t>
            </w:r>
          </w:p>
        </w:tc>
      </w:tr>
      <w:tr w:rsidR="00330C1B" w14:paraId="7EB0C342"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5EA3DC06" w14:textId="77777777" w:rsidR="00330C1B" w:rsidRDefault="00000000">
            <w:r>
              <w:rPr>
                <w:sz w:val="17"/>
              </w:rPr>
              <w:t>F-008-S-001-REQ-B-006</w:t>
            </w:r>
          </w:p>
        </w:tc>
        <w:tc>
          <w:tcPr>
            <w:tcW w:w="936" w:type="dxa"/>
          </w:tcPr>
          <w:p w14:paraId="4F3CC85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69DE9C9A"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§3.8.1</w:t>
            </w:r>
          </w:p>
        </w:tc>
        <w:tc>
          <w:tcPr>
            <w:tcW w:w="1080" w:type="dxa"/>
          </w:tcPr>
          <w:p w14:paraId="1C2AA879"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C-13</w:t>
            </w:r>
          </w:p>
        </w:tc>
        <w:tc>
          <w:tcPr>
            <w:tcW w:w="4752" w:type="dxa"/>
          </w:tcPr>
          <w:p w14:paraId="2B8DEC58"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Each page holds its own result set and its own position, so two answers stand together.</w:t>
            </w:r>
          </w:p>
        </w:tc>
      </w:tr>
      <w:tr w:rsidR="00330C1B" w14:paraId="0B980436"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5E3FAC44" w14:textId="77777777" w:rsidR="00330C1B" w:rsidRDefault="00000000">
            <w:r>
              <w:rPr>
                <w:sz w:val="17"/>
              </w:rPr>
              <w:t>F-008-S-002-REQ-B-001</w:t>
            </w:r>
          </w:p>
        </w:tc>
        <w:tc>
          <w:tcPr>
            <w:tcW w:w="936" w:type="dxa"/>
          </w:tcPr>
          <w:p w14:paraId="4BC09F1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37A529C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§3.8.3</w:t>
            </w:r>
          </w:p>
        </w:tc>
        <w:tc>
          <w:tcPr>
            <w:tcW w:w="1080" w:type="dxa"/>
          </w:tcPr>
          <w:p w14:paraId="563F7B26"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C-13</w:t>
            </w:r>
          </w:p>
        </w:tc>
        <w:tc>
          <w:tcPr>
            <w:tcW w:w="4752" w:type="dxa"/>
          </w:tcPr>
          <w:p w14:paraId="5C6436D2"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Carry-over is a set of stated triples of parameter, source and destination, and nothing else produces it.</w:t>
            </w:r>
          </w:p>
        </w:tc>
      </w:tr>
      <w:tr w:rsidR="00330C1B" w14:paraId="27A274DD"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61E65100" w14:textId="77777777" w:rsidR="00330C1B" w:rsidRDefault="00000000">
            <w:r>
              <w:rPr>
                <w:sz w:val="17"/>
              </w:rPr>
              <w:t>F-008-S-002-REQ-B-002</w:t>
            </w:r>
          </w:p>
        </w:tc>
        <w:tc>
          <w:tcPr>
            <w:tcW w:w="936" w:type="dxa"/>
          </w:tcPr>
          <w:p w14:paraId="5BBE4E7B"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2ED5AA96"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§3.8.3, §4.4</w:t>
            </w:r>
          </w:p>
        </w:tc>
        <w:tc>
          <w:tcPr>
            <w:tcW w:w="1080" w:type="dxa"/>
          </w:tcPr>
          <w:p w14:paraId="55FE178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C-13</w:t>
            </w:r>
          </w:p>
        </w:tc>
        <w:tc>
          <w:tcPr>
            <w:tcW w:w="4752" w:type="dxa"/>
          </w:tcPr>
          <w:p w14:paraId="0FD98A7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triples are data in ChatHealthyConfig on the front-end cluster, read at startup with the collection bindings and re-read on the same rebind.</w:t>
            </w:r>
          </w:p>
        </w:tc>
      </w:tr>
      <w:tr w:rsidR="00330C1B" w14:paraId="7A09E4A5"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E6A1682" w14:textId="77777777" w:rsidR="00330C1B" w:rsidRDefault="00000000">
            <w:r>
              <w:rPr>
                <w:sz w:val="17"/>
              </w:rPr>
              <w:t>F-008-S-002-REQ-B-003</w:t>
            </w:r>
          </w:p>
        </w:tc>
        <w:tc>
          <w:tcPr>
            <w:tcW w:w="936" w:type="dxa"/>
          </w:tcPr>
          <w:p w14:paraId="66EE32FF"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5B273C33"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§3.8.3</w:t>
            </w:r>
          </w:p>
        </w:tc>
        <w:tc>
          <w:tcPr>
            <w:tcW w:w="1080" w:type="dxa"/>
          </w:tcPr>
          <w:p w14:paraId="0B3D4905"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C-13</w:t>
            </w:r>
          </w:p>
        </w:tc>
        <w:tc>
          <w:tcPr>
            <w:tcW w:w="4752" w:type="dxa"/>
          </w:tcPr>
          <w:p w14:paraId="49270C26"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absence of a triple is a decision; nothing carries by name-matching.</w:t>
            </w:r>
          </w:p>
        </w:tc>
      </w:tr>
      <w:tr w:rsidR="00330C1B" w14:paraId="49BD5FEB"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68957BC9" w14:textId="77777777" w:rsidR="00330C1B" w:rsidRDefault="00000000">
            <w:r>
              <w:rPr>
                <w:sz w:val="17"/>
              </w:rPr>
              <w:t>F-008-S-002-REQ-B-004</w:t>
            </w:r>
          </w:p>
        </w:tc>
        <w:tc>
          <w:tcPr>
            <w:tcW w:w="936" w:type="dxa"/>
          </w:tcPr>
          <w:p w14:paraId="49BAB2F3"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1A6FE175"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§3.8.3</w:t>
            </w:r>
          </w:p>
        </w:tc>
        <w:tc>
          <w:tcPr>
            <w:tcW w:w="1080" w:type="dxa"/>
          </w:tcPr>
          <w:p w14:paraId="5128FC6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C-13</w:t>
            </w:r>
          </w:p>
        </w:tc>
        <w:tc>
          <w:tcPr>
            <w:tcW w:w="4752" w:type="dxa"/>
          </w:tcPr>
          <w:p w14:paraId="2C68C0E8"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A carried value is an ordinary write through the one path, recorded with the source page it came from.</w:t>
            </w:r>
          </w:p>
        </w:tc>
      </w:tr>
      <w:tr w:rsidR="00330C1B" w14:paraId="7F0FEB28"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011599D5" w14:textId="77777777" w:rsidR="00330C1B" w:rsidRDefault="00000000">
            <w:r>
              <w:rPr>
                <w:sz w:val="17"/>
              </w:rPr>
              <w:t>F-008-S-002-REQ-B-005</w:t>
            </w:r>
          </w:p>
        </w:tc>
        <w:tc>
          <w:tcPr>
            <w:tcW w:w="936" w:type="dxa"/>
          </w:tcPr>
          <w:p w14:paraId="34BB4397"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0F1CCF14"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§3.8.3</w:t>
            </w:r>
          </w:p>
        </w:tc>
        <w:tc>
          <w:tcPr>
            <w:tcW w:w="1080" w:type="dxa"/>
          </w:tcPr>
          <w:p w14:paraId="5F40DB5D"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C-13</w:t>
            </w:r>
          </w:p>
        </w:tc>
        <w:tc>
          <w:tcPr>
            <w:tcW w:w="4752" w:type="dxa"/>
          </w:tcPr>
          <w:p w14:paraId="562C5D9B"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triple is applied only where the destination attribute is empty: carry-over fills, it does not overwrite.</w:t>
            </w:r>
          </w:p>
        </w:tc>
      </w:tr>
      <w:tr w:rsidR="00330C1B" w14:paraId="1395B536"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20BD544B" w14:textId="77777777" w:rsidR="00330C1B" w:rsidRDefault="00000000">
            <w:r>
              <w:rPr>
                <w:sz w:val="17"/>
              </w:rPr>
              <w:t>F-008-S-003-REQ-B-001</w:t>
            </w:r>
          </w:p>
        </w:tc>
        <w:tc>
          <w:tcPr>
            <w:tcW w:w="936" w:type="dxa"/>
          </w:tcPr>
          <w:p w14:paraId="1A57975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2D55B322"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§3.8.4</w:t>
            </w:r>
          </w:p>
        </w:tc>
        <w:tc>
          <w:tcPr>
            <w:tcW w:w="1080" w:type="dxa"/>
          </w:tcPr>
          <w:p w14:paraId="4BC5E09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C-13</w:t>
            </w:r>
          </w:p>
        </w:tc>
        <w:tc>
          <w:tcPr>
            <w:tcW w:w="4752" w:type="dxa"/>
          </w:tcPr>
          <w:p w14:paraId="0146C8E5"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A tool may address the page it belongs to; a tool reaching another page would defeat page independence.</w:t>
            </w:r>
          </w:p>
        </w:tc>
      </w:tr>
      <w:tr w:rsidR="00330C1B" w14:paraId="267D4BC3"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71559F0C" w14:textId="77777777" w:rsidR="00330C1B" w:rsidRDefault="00000000">
            <w:r>
              <w:rPr>
                <w:sz w:val="17"/>
              </w:rPr>
              <w:t>F-008-S-003-REQ-B-002</w:t>
            </w:r>
          </w:p>
        </w:tc>
        <w:tc>
          <w:tcPr>
            <w:tcW w:w="936" w:type="dxa"/>
          </w:tcPr>
          <w:p w14:paraId="7CC3912B"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75A5265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§3.8.4</w:t>
            </w:r>
          </w:p>
        </w:tc>
        <w:tc>
          <w:tcPr>
            <w:tcW w:w="1080" w:type="dxa"/>
          </w:tcPr>
          <w:p w14:paraId="5BBBC977"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C-13</w:t>
            </w:r>
          </w:p>
        </w:tc>
        <w:tc>
          <w:tcPr>
            <w:tcW w:w="4752" w:type="dxa"/>
          </w:tcPr>
          <w:p w14:paraId="4E2CC48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gateway may address any page, because it dispatches across pages and must clear a stale position or open detail no tool owns.</w:t>
            </w:r>
          </w:p>
        </w:tc>
      </w:tr>
      <w:tr w:rsidR="00330C1B" w14:paraId="7BA51BF6"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2FD038F4" w14:textId="77777777" w:rsidR="00330C1B" w:rsidRDefault="00000000">
            <w:r>
              <w:rPr>
                <w:sz w:val="17"/>
              </w:rPr>
              <w:t>F-008-S-003-REQ-B-003</w:t>
            </w:r>
          </w:p>
        </w:tc>
        <w:tc>
          <w:tcPr>
            <w:tcW w:w="936" w:type="dxa"/>
          </w:tcPr>
          <w:p w14:paraId="6225BC8F"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5CBFA492"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§3.8.4</w:t>
            </w:r>
          </w:p>
        </w:tc>
        <w:tc>
          <w:tcPr>
            <w:tcW w:w="1080" w:type="dxa"/>
          </w:tcPr>
          <w:p w14:paraId="3F196116"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C-13</w:t>
            </w:r>
          </w:p>
        </w:tc>
        <w:tc>
          <w:tcPr>
            <w:tcW w:w="4752" w:type="dxa"/>
          </w:tcPr>
          <w:p w14:paraId="4BAE5FF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utterance manager may address any page, because one thing a person says may bear on two.</w:t>
            </w:r>
          </w:p>
        </w:tc>
      </w:tr>
      <w:tr w:rsidR="00330C1B" w14:paraId="4CFDA88A"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082EAF45" w14:textId="77777777" w:rsidR="00330C1B" w:rsidRDefault="00000000">
            <w:r>
              <w:rPr>
                <w:sz w:val="17"/>
              </w:rPr>
              <w:t>F-008-S-003-REQ-B-004</w:t>
            </w:r>
          </w:p>
        </w:tc>
        <w:tc>
          <w:tcPr>
            <w:tcW w:w="936" w:type="dxa"/>
          </w:tcPr>
          <w:p w14:paraId="0206AA22"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54B99971"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§3.8.4</w:t>
            </w:r>
          </w:p>
        </w:tc>
        <w:tc>
          <w:tcPr>
            <w:tcW w:w="1080" w:type="dxa"/>
          </w:tcPr>
          <w:p w14:paraId="6F405BA4"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C-13</w:t>
            </w:r>
          </w:p>
        </w:tc>
        <w:tc>
          <w:tcPr>
            <w:tcW w:w="4752" w:type="dxa"/>
          </w:tcPr>
          <w:p w14:paraId="1308A063"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One validation site, so one stored value and one refusal whoever asked. True by construction, not by discipline.</w:t>
            </w:r>
          </w:p>
        </w:tc>
      </w:tr>
      <w:tr w:rsidR="00330C1B" w14:paraId="1900626E"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A37A746" w14:textId="77777777" w:rsidR="00330C1B" w:rsidRDefault="00000000">
            <w:r>
              <w:rPr>
                <w:sz w:val="17"/>
              </w:rPr>
              <w:t>F-008-S-003-REQ-B-005</w:t>
            </w:r>
          </w:p>
        </w:tc>
        <w:tc>
          <w:tcPr>
            <w:tcW w:w="936" w:type="dxa"/>
          </w:tcPr>
          <w:p w14:paraId="04190CEA"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5011106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§3.8.4</w:t>
            </w:r>
          </w:p>
        </w:tc>
        <w:tc>
          <w:tcPr>
            <w:tcW w:w="1080" w:type="dxa"/>
          </w:tcPr>
          <w:p w14:paraId="39AE0286"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C-13, C-14</w:t>
            </w:r>
          </w:p>
        </w:tc>
        <w:tc>
          <w:tcPr>
            <w:tcW w:w="4752" w:type="dxa"/>
          </w:tcPr>
          <w:p w14:paraId="63A3ABB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route is given on the request and recorded with the change.</w:t>
            </w:r>
          </w:p>
        </w:tc>
      </w:tr>
      <w:tr w:rsidR="00330C1B" w14:paraId="32801703"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ECCD799" w14:textId="77777777" w:rsidR="00330C1B" w:rsidRDefault="00000000">
            <w:r>
              <w:rPr>
                <w:sz w:val="17"/>
              </w:rPr>
              <w:t>F-008-S-003-REQ-B-006</w:t>
            </w:r>
          </w:p>
        </w:tc>
        <w:tc>
          <w:tcPr>
            <w:tcW w:w="936" w:type="dxa"/>
          </w:tcPr>
          <w:p w14:paraId="5377E6E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39E29326"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§3.8.4</w:t>
            </w:r>
          </w:p>
        </w:tc>
        <w:tc>
          <w:tcPr>
            <w:tcW w:w="1080" w:type="dxa"/>
          </w:tcPr>
          <w:p w14:paraId="4433E11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C-13</w:t>
            </w:r>
          </w:p>
        </w:tc>
        <w:tc>
          <w:tcPr>
            <w:tcW w:w="4752" w:type="dxa"/>
          </w:tcPr>
          <w:p w14:paraId="154FD3E1"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determination is given on the request, independent of the route, and recorded with the change.</w:t>
            </w:r>
          </w:p>
        </w:tc>
      </w:tr>
      <w:tr w:rsidR="00330C1B" w14:paraId="3C30D9B5"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76FF915F" w14:textId="77777777" w:rsidR="00330C1B" w:rsidRDefault="00000000">
            <w:r>
              <w:rPr>
                <w:sz w:val="17"/>
              </w:rPr>
              <w:t>F-008-S-003-REQ-B-007</w:t>
            </w:r>
          </w:p>
        </w:tc>
        <w:tc>
          <w:tcPr>
            <w:tcW w:w="936" w:type="dxa"/>
          </w:tcPr>
          <w:p w14:paraId="4578EE0F"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4B519BBA"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§3.8.4</w:t>
            </w:r>
          </w:p>
        </w:tc>
        <w:tc>
          <w:tcPr>
            <w:tcW w:w="1080" w:type="dxa"/>
          </w:tcPr>
          <w:p w14:paraId="14D0061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C-13</w:t>
            </w:r>
          </w:p>
        </w:tc>
        <w:tc>
          <w:tcPr>
            <w:tcW w:w="4752" w:type="dxa"/>
          </w:tcPr>
          <w:p w14:paraId="0B8659D4"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map is reachable only through the tool; no component holds a reference it can assign to.</w:t>
            </w:r>
          </w:p>
        </w:tc>
      </w:tr>
      <w:tr w:rsidR="00330C1B" w14:paraId="3C39D2BA"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91CB75E" w14:textId="77777777" w:rsidR="00330C1B" w:rsidRDefault="00000000">
            <w:r>
              <w:rPr>
                <w:sz w:val="17"/>
              </w:rPr>
              <w:t>F-008-S-004-REQ-B-001</w:t>
            </w:r>
          </w:p>
        </w:tc>
        <w:tc>
          <w:tcPr>
            <w:tcW w:w="936" w:type="dxa"/>
          </w:tcPr>
          <w:p w14:paraId="1DB356F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041CC01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§3.8.5</w:t>
            </w:r>
          </w:p>
        </w:tc>
        <w:tc>
          <w:tcPr>
            <w:tcW w:w="1080" w:type="dxa"/>
          </w:tcPr>
          <w:p w14:paraId="5E02E5B6"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C-13</w:t>
            </w:r>
          </w:p>
        </w:tc>
        <w:tc>
          <w:tcPr>
            <w:tcW w:w="4752" w:type="dxa"/>
          </w:tcPr>
          <w:p w14:paraId="30335467"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change is reported only after the store acknowledged it, so the next request reads it back.</w:t>
            </w:r>
          </w:p>
        </w:tc>
      </w:tr>
      <w:tr w:rsidR="00330C1B" w14:paraId="58727EF7"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1560536" w14:textId="77777777" w:rsidR="00330C1B" w:rsidRDefault="00000000">
            <w:r>
              <w:rPr>
                <w:sz w:val="17"/>
              </w:rPr>
              <w:t>F-008-S-004-REQ-B-002</w:t>
            </w:r>
          </w:p>
        </w:tc>
        <w:tc>
          <w:tcPr>
            <w:tcW w:w="936" w:type="dxa"/>
          </w:tcPr>
          <w:p w14:paraId="2C12A1B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61D2ACB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§3.8.5</w:t>
            </w:r>
          </w:p>
        </w:tc>
        <w:tc>
          <w:tcPr>
            <w:tcW w:w="1080" w:type="dxa"/>
          </w:tcPr>
          <w:p w14:paraId="6A37D984"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C-13</w:t>
            </w:r>
          </w:p>
        </w:tc>
        <w:tc>
          <w:tcPr>
            <w:tcW w:w="4752" w:type="dxa"/>
          </w:tcPr>
          <w:p w14:paraId="7BA08746"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One copy, no cache; every reader reads the map when it runs.</w:t>
            </w:r>
          </w:p>
        </w:tc>
      </w:tr>
      <w:tr w:rsidR="00330C1B" w14:paraId="7D87B1F3"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B7DB15B" w14:textId="77777777" w:rsidR="00330C1B" w:rsidRDefault="00000000">
            <w:r>
              <w:rPr>
                <w:sz w:val="17"/>
              </w:rPr>
              <w:t>F-008-S-004-REQ-B-003</w:t>
            </w:r>
          </w:p>
        </w:tc>
        <w:tc>
          <w:tcPr>
            <w:tcW w:w="936" w:type="dxa"/>
          </w:tcPr>
          <w:p w14:paraId="6009D1E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73C6E063"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§3.8.5</w:t>
            </w:r>
          </w:p>
        </w:tc>
        <w:tc>
          <w:tcPr>
            <w:tcW w:w="1080" w:type="dxa"/>
          </w:tcPr>
          <w:p w14:paraId="2F9B22C3"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C-13</w:t>
            </w:r>
          </w:p>
        </w:tc>
        <w:tc>
          <w:tcPr>
            <w:tcW w:w="4752" w:type="dxa"/>
          </w:tcPr>
          <w:p w14:paraId="6D9162C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write precedes the report; a failed write emits the failure instead.</w:t>
            </w:r>
          </w:p>
        </w:tc>
      </w:tr>
      <w:tr w:rsidR="00330C1B" w14:paraId="4FBFFD03"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59C2BE12" w14:textId="77777777" w:rsidR="00330C1B" w:rsidRDefault="00000000">
            <w:r>
              <w:rPr>
                <w:sz w:val="17"/>
              </w:rPr>
              <w:t>F-008-S-004-REQ-B-004</w:t>
            </w:r>
          </w:p>
        </w:tc>
        <w:tc>
          <w:tcPr>
            <w:tcW w:w="936" w:type="dxa"/>
          </w:tcPr>
          <w:p w14:paraId="1F02B00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4528B1B2"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§3.8.5</w:t>
            </w:r>
          </w:p>
        </w:tc>
        <w:tc>
          <w:tcPr>
            <w:tcW w:w="1080" w:type="dxa"/>
          </w:tcPr>
          <w:p w14:paraId="4535E4B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C-13</w:t>
            </w:r>
          </w:p>
        </w:tc>
        <w:tc>
          <w:tcPr>
            <w:tcW w:w="4752" w:type="dxa"/>
          </w:tcPr>
          <w:p w14:paraId="3F94EFCA"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A write that did not happen left the previous document intact, so nothing has to restore the prior value.</w:t>
            </w:r>
          </w:p>
        </w:tc>
      </w:tr>
      <w:tr w:rsidR="00330C1B" w14:paraId="69A91634"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35A33C2" w14:textId="77777777" w:rsidR="00330C1B" w:rsidRDefault="00000000">
            <w:r>
              <w:rPr>
                <w:sz w:val="17"/>
              </w:rPr>
              <w:t>F-008-S-004-REQ-B-005</w:t>
            </w:r>
          </w:p>
        </w:tc>
        <w:tc>
          <w:tcPr>
            <w:tcW w:w="936" w:type="dxa"/>
          </w:tcPr>
          <w:p w14:paraId="068060E3"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06119BE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§3.8.5</w:t>
            </w:r>
          </w:p>
        </w:tc>
        <w:tc>
          <w:tcPr>
            <w:tcW w:w="1080" w:type="dxa"/>
          </w:tcPr>
          <w:p w14:paraId="6C97235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C-13</w:t>
            </w:r>
          </w:p>
        </w:tc>
        <w:tc>
          <w:tcPr>
            <w:tcW w:w="4752" w:type="dxa"/>
          </w:tcPr>
          <w:p w14:paraId="7D34B24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failure emission names the parameters that did not take.</w:t>
            </w:r>
          </w:p>
        </w:tc>
      </w:tr>
      <w:tr w:rsidR="00330C1B" w14:paraId="6718B5D6"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6C5A7D4" w14:textId="77777777" w:rsidR="00330C1B" w:rsidRDefault="00000000">
            <w:r>
              <w:rPr>
                <w:sz w:val="17"/>
              </w:rPr>
              <w:t>F-008-S-004-REQ-B-006</w:t>
            </w:r>
          </w:p>
        </w:tc>
        <w:tc>
          <w:tcPr>
            <w:tcW w:w="936" w:type="dxa"/>
          </w:tcPr>
          <w:p w14:paraId="37C428D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7B5E8143"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§3.8.5</w:t>
            </w:r>
          </w:p>
        </w:tc>
        <w:tc>
          <w:tcPr>
            <w:tcW w:w="1080" w:type="dxa"/>
          </w:tcPr>
          <w:p w14:paraId="7391CF0A"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C-13</w:t>
            </w:r>
          </w:p>
        </w:tc>
        <w:tc>
          <w:tcPr>
            <w:tcW w:w="4752" w:type="dxa"/>
          </w:tcPr>
          <w:p w14:paraId="3BC09B75"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All pages live in one session document, so a multi-parameter change is a single-document write and needs no transaction.</w:t>
            </w:r>
          </w:p>
        </w:tc>
      </w:tr>
      <w:tr w:rsidR="00330C1B" w14:paraId="68E8E31B"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A04C6E2" w14:textId="77777777" w:rsidR="00330C1B" w:rsidRDefault="00000000">
            <w:r>
              <w:rPr>
                <w:sz w:val="17"/>
              </w:rPr>
              <w:t>F-008-S-004-REQ-B-007</w:t>
            </w:r>
          </w:p>
        </w:tc>
        <w:tc>
          <w:tcPr>
            <w:tcW w:w="936" w:type="dxa"/>
          </w:tcPr>
          <w:p w14:paraId="644E9468"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35A03E7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§3.8.5</w:t>
            </w:r>
          </w:p>
        </w:tc>
        <w:tc>
          <w:tcPr>
            <w:tcW w:w="1080" w:type="dxa"/>
          </w:tcPr>
          <w:p w14:paraId="5F89F9A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C-13</w:t>
            </w:r>
          </w:p>
        </w:tc>
        <w:tc>
          <w:tcPr>
            <w:tcW w:w="4752" w:type="dxa"/>
          </w:tcPr>
          <w:p w14:paraId="4B3C71D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A set replaces and there is no merge verb, so the later change stands.</w:t>
            </w:r>
          </w:p>
        </w:tc>
      </w:tr>
      <w:tr w:rsidR="00330C1B" w14:paraId="2191C240"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495D6903" w14:textId="77777777" w:rsidR="00330C1B" w:rsidRDefault="00000000">
            <w:r>
              <w:rPr>
                <w:sz w:val="17"/>
              </w:rPr>
              <w:t>F-008-S-005-REQ-B-001</w:t>
            </w:r>
          </w:p>
        </w:tc>
        <w:tc>
          <w:tcPr>
            <w:tcW w:w="936" w:type="dxa"/>
          </w:tcPr>
          <w:p w14:paraId="1F9268A4"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4EC5192B"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§3.8.7</w:t>
            </w:r>
          </w:p>
        </w:tc>
        <w:tc>
          <w:tcPr>
            <w:tcW w:w="1080" w:type="dxa"/>
          </w:tcPr>
          <w:p w14:paraId="7A636C4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C-13</w:t>
            </w:r>
          </w:p>
        </w:tc>
        <w:tc>
          <w:tcPr>
            <w:tcW w:w="4752" w:type="dxa"/>
          </w:tcPr>
          <w:p w14:paraId="533E8C1B"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Only attributes carrying a value are shown; a declared attribute with no value would make the panel a form.</w:t>
            </w:r>
          </w:p>
        </w:tc>
      </w:tr>
      <w:tr w:rsidR="00330C1B" w14:paraId="0DDC8CCA"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6FD5CDF0" w14:textId="77777777" w:rsidR="00330C1B" w:rsidRDefault="00000000">
            <w:r>
              <w:rPr>
                <w:sz w:val="17"/>
              </w:rPr>
              <w:t>F-008-S-005-REQ-B-002</w:t>
            </w:r>
          </w:p>
        </w:tc>
        <w:tc>
          <w:tcPr>
            <w:tcW w:w="936" w:type="dxa"/>
          </w:tcPr>
          <w:p w14:paraId="784A7555"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5B84358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§3.8.7</w:t>
            </w:r>
          </w:p>
        </w:tc>
        <w:tc>
          <w:tcPr>
            <w:tcW w:w="1080" w:type="dxa"/>
          </w:tcPr>
          <w:p w14:paraId="7A06CC1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C-13</w:t>
            </w:r>
          </w:p>
        </w:tc>
        <w:tc>
          <w:tcPr>
            <w:tcW w:w="4752" w:type="dxa"/>
          </w:tcPr>
          <w:p w14:paraId="71D184B2"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page is half of the name, so it is shown with every parameter.</w:t>
            </w:r>
          </w:p>
        </w:tc>
      </w:tr>
      <w:tr w:rsidR="00330C1B" w14:paraId="33163770"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6111D90E" w14:textId="77777777" w:rsidR="00330C1B" w:rsidRDefault="00000000">
            <w:r>
              <w:rPr>
                <w:sz w:val="17"/>
              </w:rPr>
              <w:t>F-008-S-005-REQ-B-003</w:t>
            </w:r>
          </w:p>
        </w:tc>
        <w:tc>
          <w:tcPr>
            <w:tcW w:w="936" w:type="dxa"/>
          </w:tcPr>
          <w:p w14:paraId="04C0C65B"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7286437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§3.8.7</w:t>
            </w:r>
          </w:p>
        </w:tc>
        <w:tc>
          <w:tcPr>
            <w:tcW w:w="1080" w:type="dxa"/>
          </w:tcPr>
          <w:p w14:paraId="23D7CF41"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C-13</w:t>
            </w:r>
          </w:p>
        </w:tc>
        <w:tc>
          <w:tcPr>
            <w:tcW w:w="4752" w:type="dxa"/>
          </w:tcPr>
          <w:p w14:paraId="2936B6F9"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panel renders the state in the shape it is held: one group per page.</w:t>
            </w:r>
          </w:p>
        </w:tc>
      </w:tr>
      <w:tr w:rsidR="00330C1B" w14:paraId="3602B4A8"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76599A60" w14:textId="77777777" w:rsidR="00330C1B" w:rsidRDefault="00000000">
            <w:r>
              <w:rPr>
                <w:sz w:val="17"/>
              </w:rPr>
              <w:t>F-008-S-005-REQ-B-004</w:t>
            </w:r>
          </w:p>
        </w:tc>
        <w:tc>
          <w:tcPr>
            <w:tcW w:w="936" w:type="dxa"/>
          </w:tcPr>
          <w:p w14:paraId="66845B25"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7EA98775"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§3.8.7</w:t>
            </w:r>
          </w:p>
        </w:tc>
        <w:tc>
          <w:tcPr>
            <w:tcW w:w="1080" w:type="dxa"/>
          </w:tcPr>
          <w:p w14:paraId="48BE9EB8"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C-13</w:t>
            </w:r>
          </w:p>
        </w:tc>
        <w:tc>
          <w:tcPr>
            <w:tcW w:w="4752" w:type="dxa"/>
          </w:tcPr>
          <w:p w14:paraId="53DBE59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A clear of one attribute through the one write path.</w:t>
            </w:r>
          </w:p>
        </w:tc>
      </w:tr>
      <w:tr w:rsidR="00330C1B" w14:paraId="52EAAF62"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20D967BA" w14:textId="77777777" w:rsidR="00330C1B" w:rsidRDefault="00000000">
            <w:r>
              <w:rPr>
                <w:sz w:val="17"/>
              </w:rPr>
              <w:t>F-008-S-005-REQ-B-005</w:t>
            </w:r>
          </w:p>
        </w:tc>
        <w:tc>
          <w:tcPr>
            <w:tcW w:w="936" w:type="dxa"/>
          </w:tcPr>
          <w:p w14:paraId="4F6D041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2443B98F"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§3.8.7</w:t>
            </w:r>
          </w:p>
        </w:tc>
        <w:tc>
          <w:tcPr>
            <w:tcW w:w="1080" w:type="dxa"/>
          </w:tcPr>
          <w:p w14:paraId="5532617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C-13</w:t>
            </w:r>
          </w:p>
        </w:tc>
        <w:tc>
          <w:tcPr>
            <w:tcW w:w="4752" w:type="dxa"/>
          </w:tcPr>
          <w:p w14:paraId="08D0F243"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A single request clearing one page's map, atomic per §3.8.5.</w:t>
            </w:r>
          </w:p>
        </w:tc>
      </w:tr>
      <w:tr w:rsidR="00330C1B" w14:paraId="26227526"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057218A" w14:textId="77777777" w:rsidR="00330C1B" w:rsidRDefault="00000000">
            <w:r>
              <w:rPr>
                <w:sz w:val="17"/>
              </w:rPr>
              <w:t>F-008-S-005-REQ-B-006</w:t>
            </w:r>
          </w:p>
        </w:tc>
        <w:tc>
          <w:tcPr>
            <w:tcW w:w="936" w:type="dxa"/>
          </w:tcPr>
          <w:p w14:paraId="79AE63ED"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323C6F2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§3.8.7</w:t>
            </w:r>
          </w:p>
        </w:tc>
        <w:tc>
          <w:tcPr>
            <w:tcW w:w="1080" w:type="dxa"/>
          </w:tcPr>
          <w:p w14:paraId="53815FAB"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C-13</w:t>
            </w:r>
          </w:p>
        </w:tc>
        <w:tc>
          <w:tcPr>
            <w:tcW w:w="4752" w:type="dxa"/>
          </w:tcPr>
          <w:p w14:paraId="254012EB"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A single request clearing every page, atomic by the same fact.</w:t>
            </w:r>
          </w:p>
        </w:tc>
      </w:tr>
      <w:tr w:rsidR="00330C1B" w14:paraId="7130C20D"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2F4F9FD" w14:textId="77777777" w:rsidR="00330C1B" w:rsidRDefault="00000000">
            <w:r>
              <w:rPr>
                <w:sz w:val="17"/>
              </w:rPr>
              <w:t>F-008-S-005-REQ-B-007</w:t>
            </w:r>
          </w:p>
        </w:tc>
        <w:tc>
          <w:tcPr>
            <w:tcW w:w="936" w:type="dxa"/>
          </w:tcPr>
          <w:p w14:paraId="5B2727D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082F4CA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§3.8.7</w:t>
            </w:r>
          </w:p>
        </w:tc>
        <w:tc>
          <w:tcPr>
            <w:tcW w:w="1080" w:type="dxa"/>
          </w:tcPr>
          <w:p w14:paraId="199C6056"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C-13</w:t>
            </w:r>
          </w:p>
        </w:tc>
        <w:tc>
          <w:tcPr>
            <w:tcW w:w="4752" w:type="dxa"/>
          </w:tcPr>
          <w:p w14:paraId="1F28898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change response carries the new state and the panel repaints from it, rather than refetching a second answer that could disagree.</w:t>
            </w:r>
          </w:p>
        </w:tc>
      </w:tr>
      <w:tr w:rsidR="00330C1B" w14:paraId="548F8E66"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76916DE5" w14:textId="77777777" w:rsidR="00330C1B" w:rsidRDefault="00000000">
            <w:r>
              <w:rPr>
                <w:sz w:val="17"/>
              </w:rPr>
              <w:t>F-008-S-005-REQ-B-008</w:t>
            </w:r>
          </w:p>
        </w:tc>
        <w:tc>
          <w:tcPr>
            <w:tcW w:w="936" w:type="dxa"/>
          </w:tcPr>
          <w:p w14:paraId="4431F017"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4AD46C9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§3.8.7, §3.8.3</w:t>
            </w:r>
          </w:p>
        </w:tc>
        <w:tc>
          <w:tcPr>
            <w:tcW w:w="1080" w:type="dxa"/>
          </w:tcPr>
          <w:p w14:paraId="525776B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C-13</w:t>
            </w:r>
          </w:p>
        </w:tc>
        <w:tc>
          <w:tcPr>
            <w:tcW w:w="4752" w:type="dxa"/>
          </w:tcPr>
          <w:p w14:paraId="0072F0E1"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source page is on the change record written by S-002-REQ-B-004, so this is a render of a stored fact.</w:t>
            </w:r>
          </w:p>
        </w:tc>
      </w:tr>
      <w:tr w:rsidR="00330C1B" w14:paraId="2F5CF150"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2256D4C5" w14:textId="77777777" w:rsidR="00330C1B" w:rsidRDefault="00000000">
            <w:r>
              <w:rPr>
                <w:sz w:val="17"/>
              </w:rPr>
              <w:t>F-008-S-005-REQ-B-009</w:t>
            </w:r>
          </w:p>
        </w:tc>
        <w:tc>
          <w:tcPr>
            <w:tcW w:w="936" w:type="dxa"/>
          </w:tcPr>
          <w:p w14:paraId="782D563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7E517536"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§3.8.7</w:t>
            </w:r>
          </w:p>
        </w:tc>
        <w:tc>
          <w:tcPr>
            <w:tcW w:w="1080" w:type="dxa"/>
          </w:tcPr>
          <w:p w14:paraId="160A94E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C-13</w:t>
            </w:r>
          </w:p>
        </w:tc>
        <w:tc>
          <w:tcPr>
            <w:tcW w:w="4752" w:type="dxa"/>
          </w:tcPr>
          <w:p w14:paraId="2F0008C3"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panel is a surface, not a fourth writer: its controls go through the gateway to the one write path.</w:t>
            </w:r>
          </w:p>
        </w:tc>
      </w:tr>
      <w:tr w:rsidR="00330C1B" w14:paraId="22D91002"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BA2670D" w14:textId="77777777" w:rsidR="00330C1B" w:rsidRDefault="00000000">
            <w:r>
              <w:rPr>
                <w:sz w:val="17"/>
              </w:rPr>
              <w:t>F-008-S-006-REQ-B-001</w:t>
            </w:r>
          </w:p>
        </w:tc>
        <w:tc>
          <w:tcPr>
            <w:tcW w:w="936" w:type="dxa"/>
          </w:tcPr>
          <w:p w14:paraId="4058212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0FFCE7A8"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§3.8.1</w:t>
            </w:r>
          </w:p>
        </w:tc>
        <w:tc>
          <w:tcPr>
            <w:tcW w:w="1080" w:type="dxa"/>
          </w:tcPr>
          <w:p w14:paraId="744FCFA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C-13</w:t>
            </w:r>
          </w:p>
        </w:tc>
        <w:tc>
          <w:tcPr>
            <w:tcW w:w="4752" w:type="dxa"/>
          </w:tcPr>
          <w:p w14:paraId="34DD24C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A name without a page does not resolve and is refused.</w:t>
            </w:r>
          </w:p>
        </w:tc>
      </w:tr>
      <w:tr w:rsidR="00330C1B" w14:paraId="0EBE4A50"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7C47E029" w14:textId="77777777" w:rsidR="00330C1B" w:rsidRDefault="00000000">
            <w:r>
              <w:rPr>
                <w:sz w:val="17"/>
              </w:rPr>
              <w:t>F-008-S-006-REQ-B-002</w:t>
            </w:r>
          </w:p>
        </w:tc>
        <w:tc>
          <w:tcPr>
            <w:tcW w:w="936" w:type="dxa"/>
          </w:tcPr>
          <w:p w14:paraId="6C6F7104"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0A4F847E"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§3.8.2</w:t>
            </w:r>
          </w:p>
        </w:tc>
        <w:tc>
          <w:tcPr>
            <w:tcW w:w="1080" w:type="dxa"/>
          </w:tcPr>
          <w:p w14:paraId="279A87C1"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C-13</w:t>
            </w:r>
          </w:p>
        </w:tc>
        <w:tc>
          <w:tcPr>
            <w:tcW w:w="4752" w:type="dxa"/>
          </w:tcPr>
          <w:p w14:paraId="6E56B081"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disposition table gives each of the ten flat names a page-qualified successor or withdrawal.</w:t>
            </w:r>
          </w:p>
        </w:tc>
      </w:tr>
      <w:tr w:rsidR="00330C1B" w14:paraId="126D64A1"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535A5DF" w14:textId="77777777" w:rsidR="00330C1B" w:rsidRDefault="00000000">
            <w:r>
              <w:rPr>
                <w:sz w:val="17"/>
              </w:rPr>
              <w:t>F-008-S-006-REQ-B-003</w:t>
            </w:r>
          </w:p>
        </w:tc>
        <w:tc>
          <w:tcPr>
            <w:tcW w:w="936" w:type="dxa"/>
          </w:tcPr>
          <w:p w14:paraId="6629287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54013504"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§3.8.1, §3.8.2</w:t>
            </w:r>
          </w:p>
        </w:tc>
        <w:tc>
          <w:tcPr>
            <w:tcW w:w="1080" w:type="dxa"/>
          </w:tcPr>
          <w:p w14:paraId="4D5BBC9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C-13</w:t>
            </w:r>
          </w:p>
        </w:tc>
        <w:tc>
          <w:tcPr>
            <w:tcW w:w="4752" w:type="dxa"/>
          </w:tcPr>
          <w:p w14:paraId="535F849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Geography, complaint and the chosen codes become one parameter per page that needs them; they share a name and are distinct values.</w:t>
            </w:r>
          </w:p>
        </w:tc>
      </w:tr>
      <w:tr w:rsidR="00330C1B" w14:paraId="48311327"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09BA1F93" w14:textId="77777777" w:rsidR="00330C1B" w:rsidRDefault="00000000">
            <w:r>
              <w:rPr>
                <w:sz w:val="17"/>
              </w:rPr>
              <w:t>F-008-S-006-REQ-B-004</w:t>
            </w:r>
          </w:p>
        </w:tc>
        <w:tc>
          <w:tcPr>
            <w:tcW w:w="936" w:type="dxa"/>
          </w:tcPr>
          <w:p w14:paraId="445A0EE3"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4DF9F50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§3.8.1</w:t>
            </w:r>
          </w:p>
        </w:tc>
        <w:tc>
          <w:tcPr>
            <w:tcW w:w="1080" w:type="dxa"/>
          </w:tcPr>
          <w:p w14:paraId="093AE4B8"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C-13</w:t>
            </w:r>
          </w:p>
        </w:tc>
        <w:tc>
          <w:tcPr>
            <w:tcW w:w="4752" w:type="dxa"/>
          </w:tcPr>
          <w:p w14:paraId="33651706"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Each page's declaration is derived by applying this rule to its feature's requirements; the table in §3.8.1 is that derivation.</w:t>
            </w:r>
          </w:p>
        </w:tc>
      </w:tr>
      <w:tr w:rsidR="00330C1B" w14:paraId="28A8EB98"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DB88E12" w14:textId="77777777" w:rsidR="00330C1B" w:rsidRDefault="00000000">
            <w:r>
              <w:rPr>
                <w:sz w:val="17"/>
              </w:rPr>
              <w:t>F-008-S-006-REQ-B-005</w:t>
            </w:r>
          </w:p>
        </w:tc>
        <w:tc>
          <w:tcPr>
            <w:tcW w:w="936" w:type="dxa"/>
          </w:tcPr>
          <w:p w14:paraId="4C2F0648"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4310C568"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§3.8.1</w:t>
            </w:r>
          </w:p>
        </w:tc>
        <w:tc>
          <w:tcPr>
            <w:tcW w:w="1080" w:type="dxa"/>
          </w:tcPr>
          <w:p w14:paraId="75720B08"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C-13</w:t>
            </w:r>
          </w:p>
        </w:tc>
        <w:tc>
          <w:tcPr>
            <w:tcW w:w="4752" w:type="dxa"/>
          </w:tcPr>
          <w:p w14:paraId="331E3375"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Entity type is the worked example: it is a property of the page, not a parameter of it.</w:t>
            </w:r>
          </w:p>
        </w:tc>
      </w:tr>
      <w:tr w:rsidR="00330C1B" w14:paraId="2C61E66B"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7362E2C2" w14:textId="77777777" w:rsidR="00330C1B" w:rsidRDefault="00000000">
            <w:r>
              <w:rPr>
                <w:sz w:val="17"/>
              </w:rPr>
              <w:t>F-008-S-007-REQ-B-001</w:t>
            </w:r>
          </w:p>
        </w:tc>
        <w:tc>
          <w:tcPr>
            <w:tcW w:w="936" w:type="dxa"/>
          </w:tcPr>
          <w:p w14:paraId="33A223B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6E3FF079"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§3.8.6</w:t>
            </w:r>
          </w:p>
        </w:tc>
        <w:tc>
          <w:tcPr>
            <w:tcW w:w="1080" w:type="dxa"/>
          </w:tcPr>
          <w:p w14:paraId="25F9547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C-13, C-15</w:t>
            </w:r>
          </w:p>
        </w:tc>
        <w:tc>
          <w:tcPr>
            <w:tcW w:w="4752" w:type="dxa"/>
          </w:tcPr>
          <w:p w14:paraId="692ADCB4"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same keyset query with the comparison and the sort both inverted; the position holds the first and last key of the page in view.</w:t>
            </w:r>
          </w:p>
        </w:tc>
      </w:tr>
      <w:tr w:rsidR="00330C1B" w14:paraId="2C109FAE"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42D16878" w14:textId="77777777" w:rsidR="00330C1B" w:rsidRDefault="00000000">
            <w:r>
              <w:rPr>
                <w:sz w:val="17"/>
              </w:rPr>
              <w:t>F-008-S-007-REQ-B-003</w:t>
            </w:r>
          </w:p>
        </w:tc>
        <w:tc>
          <w:tcPr>
            <w:tcW w:w="936" w:type="dxa"/>
          </w:tcPr>
          <w:p w14:paraId="76A19603"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3004E9CD"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§3.8.6</w:t>
            </w:r>
          </w:p>
        </w:tc>
        <w:tc>
          <w:tcPr>
            <w:tcW w:w="1080" w:type="dxa"/>
          </w:tcPr>
          <w:p w14:paraId="478A28ED"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C-13</w:t>
            </w:r>
          </w:p>
        </w:tc>
        <w:tc>
          <w:tcPr>
            <w:tcW w:w="4752" w:type="dxa"/>
          </w:tcPr>
          <w:p w14:paraId="1A50E291"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sort is on the unique NPI, so the order is total and two runs cannot differ.</w:t>
            </w:r>
          </w:p>
        </w:tc>
      </w:tr>
      <w:tr w:rsidR="00330C1B" w14:paraId="2FC6B48E"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4CAA93C" w14:textId="77777777" w:rsidR="00330C1B" w:rsidRDefault="00000000">
            <w:r>
              <w:rPr>
                <w:sz w:val="17"/>
              </w:rPr>
              <w:t>F-008-S-007-REQ-B-004</w:t>
            </w:r>
          </w:p>
        </w:tc>
        <w:tc>
          <w:tcPr>
            <w:tcW w:w="936" w:type="dxa"/>
          </w:tcPr>
          <w:p w14:paraId="3DCB202A"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349DBC08"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§3.8.6</w:t>
            </w:r>
          </w:p>
        </w:tc>
        <w:tc>
          <w:tcPr>
            <w:tcW w:w="1080" w:type="dxa"/>
          </w:tcPr>
          <w:p w14:paraId="22435168"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C-13</w:t>
            </w:r>
          </w:p>
        </w:tc>
        <w:tc>
          <w:tcPr>
            <w:tcW w:w="4752" w:type="dxa"/>
          </w:tcPr>
          <w:p w14:paraId="0B96B5B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An absent position is the top of the list, which is also what a page never visited means.</w:t>
            </w:r>
          </w:p>
        </w:tc>
      </w:tr>
    </w:tbl>
    <w:p w14:paraId="75097B75" w14:textId="77777777" w:rsidR="00DE6EE8" w:rsidRDefault="00DE6EE8"/>
    <w:p>
      <w:r>
        <w:br w:type="page"/>
      </w:r>
    </w:p>
    <w:sectPr w:rsidR="00DE6EE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6620948">
    <w:abstractNumId w:val="8"/>
  </w:num>
  <w:num w:numId="2" w16cid:durableId="1701663767">
    <w:abstractNumId w:val="6"/>
  </w:num>
  <w:num w:numId="3" w16cid:durableId="1720516915">
    <w:abstractNumId w:val="5"/>
  </w:num>
  <w:num w:numId="4" w16cid:durableId="361980772">
    <w:abstractNumId w:val="4"/>
  </w:num>
  <w:num w:numId="5" w16cid:durableId="1328634407">
    <w:abstractNumId w:val="7"/>
  </w:num>
  <w:num w:numId="6" w16cid:durableId="1065688955">
    <w:abstractNumId w:val="3"/>
  </w:num>
  <w:num w:numId="7" w16cid:durableId="974682673">
    <w:abstractNumId w:val="2"/>
  </w:num>
  <w:num w:numId="8" w16cid:durableId="28654670">
    <w:abstractNumId w:val="1"/>
  </w:num>
  <w:num w:numId="9" w16cid:durableId="1709909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0C1B"/>
    <w:rsid w:val="00392FFE"/>
    <w:rsid w:val="005A40A8"/>
    <w:rsid w:val="00AA1D8D"/>
    <w:rsid w:val="00AB1AF3"/>
    <w:rsid w:val="00B47730"/>
    <w:rsid w:val="00CB0664"/>
    <w:rsid w:val="00DE6E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9F9D81"/>
  <w14:defaultImageDpi w14:val="300"/>
  <w15:docId w15:val="{AC003971-451C-49EA-9403-3831B2E75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1807</TotalTime>
  <Pages>1</Pages>
  <Words>22492</Words>
  <Characters>128209</Characters>
  <Application>Microsoft Office Word</Application>
  <DocSecurity>0</DocSecurity>
  <Lines>1068</Lines>
  <Paragraphs>300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150401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3</cp:revision>
  <dcterms:created xsi:type="dcterms:W3CDTF">2013-12-23T23:15:00Z</dcterms:created>
  <dcterms:modified xsi:type="dcterms:W3CDTF">2026-09-03T02:51:00Z</dcterms:modified>
  <cp:category/>
</cp:coreProperties>
</file>