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4"/>
        </w:rPr>
        <w:t>Reference Architecture — Migration Plan</w:t>
      </w:r>
    </w:p>
    <w:p>
      <w:r>
        <w:rPr>
          <w:i/>
          <w:color w:val="6B7280"/>
          <w:sz w:val="20"/>
        </w:rPr>
        <w:t>From where FindCare is to a reference the next capability can be built against. Measured by a program, not by assertion.</w:t>
      </w:r>
    </w:p>
    <w:p>
      <w:pPr>
        <w:pStyle w:val="Heading1"/>
      </w:pPr>
      <w:r>
        <w:t>1. Why this plan is shaped the way it is</w:t>
      </w:r>
    </w:p>
    <w:p>
      <w:r>
        <w:t>The state being migrated away from is itself the output of a previous refactor. So the question this plan has to answer is not what to change — that part is clear — but why the result would hold this time.</w:t>
      </w:r>
    </w:p>
    <w:p>
      <w:r>
        <w:t>There is one answer and everything else follows from it. Every gate in this codebase checks that what the record declares is present on disk. Nothing checks the reverse — that what runs is declared — and nothing checks that a capability has all of its parts. That single gap is why one page came to hold a tool that runs and is not written down and, at the same time, a tool that is written down and does not run, with every build green throughout.</w:t>
      </w:r>
    </w:p>
    <w:p>
      <w:r>
        <w:t>So the enforcement is built first, not last. A plan that installs the measurement at the end spends its whole length on judgement and then finds out.</w:t>
      </w:r>
    </w:p>
    <w:p>
      <w:pPr>
        <w:pStyle w:val="Heading1"/>
      </w:pPr>
      <w:r>
        <w:t>2. What is measured</w:t>
      </w:r>
    </w:p>
    <w:p>
      <w:r>
        <w:t>A capability is four tools — a search, a vocabulary chooser, a detail, a selection — and there are three capabilities, so there are twelve cells. Each cell is in one of four states, and only one of them is right:</w:t>
      </w:r>
    </w:p>
    <w:tbl>
      <w:tblPr>
        <w:tblStyle w:val="TableGrid"/>
        <w:tblW w:type="auto" w:w="0"/>
        <w:tblLook w:firstColumn="1" w:firstRow="1" w:lastColumn="0" w:lastRow="0" w:noHBand="0" w:noVBand="1" w:val="04A0"/>
      </w:tblPr>
      <w:tblGrid>
        <w:gridCol w:w="4320"/>
        <w:gridCol w:w="4320"/>
      </w:tblGrid>
      <w:tr>
        <w:tc>
          <w:tcPr>
            <w:tcW w:type="dxa" w:w="1584"/>
          </w:tcPr>
          <w:p>
            <w:r/>
            <w:r>
              <w:rPr>
                <w:b/>
                <w:sz w:val="17"/>
              </w:rPr>
              <w:t>State</w:t>
            </w:r>
          </w:p>
        </w:tc>
        <w:tc>
          <w:tcPr>
            <w:tcW w:type="dxa" w:w="7344"/>
          </w:tcPr>
          <w:p>
            <w:r/>
            <w:r>
              <w:rPr>
                <w:b/>
                <w:sz w:val="17"/>
              </w:rPr>
              <w:t>Meaning</w:t>
            </w:r>
          </w:p>
        </w:tc>
      </w:tr>
      <w:tr>
        <w:tc>
          <w:tcPr>
            <w:tcW w:type="dxa" w:w="1584"/>
          </w:tcPr>
          <w:p>
            <w:r/>
            <w:r>
              <w:rPr>
                <w:sz w:val="17"/>
              </w:rPr>
              <w:t>Conforming</w:t>
            </w:r>
          </w:p>
        </w:tc>
        <w:tc>
          <w:tcPr>
            <w:tcW w:type="dxa" w:w="7344"/>
          </w:tcPr>
          <w:p>
            <w:r/>
            <w:r>
              <w:rPr>
                <w:sz w:val="17"/>
              </w:rPr>
              <w:t>A tool file exists, the router dispatches it by name, the record declares it with a server and an endpoint, and it conforms to the contract.</w:t>
            </w:r>
          </w:p>
        </w:tc>
      </w:tr>
      <w:tr>
        <w:tc>
          <w:tcPr>
            <w:tcW w:type="dxa" w:w="1584"/>
          </w:tcPr>
          <w:p>
            <w:r/>
            <w:r>
              <w:rPr>
                <w:sz w:val="17"/>
              </w:rPr>
              <w:t>Undeclared</w:t>
            </w:r>
          </w:p>
        </w:tc>
        <w:tc>
          <w:tcPr>
            <w:tcW w:type="dxa" w:w="7344"/>
          </w:tcPr>
          <w:p>
            <w:r/>
            <w:r>
              <w:rPr>
                <w:sz w:val="17"/>
              </w:rPr>
              <w:t>It runs, and the record does not name it. It can hold no requirement, so it cannot refuse and cannot ask.</w:t>
            </w:r>
          </w:p>
        </w:tc>
      </w:tr>
      <w:tr>
        <w:tc>
          <w:tcPr>
            <w:tcW w:type="dxa" w:w="1584"/>
          </w:tcPr>
          <w:p>
            <w:r/>
            <w:r>
              <w:rPr>
                <w:sz w:val="17"/>
              </w:rPr>
              <w:t>Dead</w:t>
            </w:r>
          </w:p>
        </w:tc>
        <w:tc>
          <w:tcPr>
            <w:tcW w:type="dxa" w:w="7344"/>
          </w:tcPr>
          <w:p>
            <w:r/>
            <w:r>
              <w:rPr>
                <w:sz w:val="17"/>
              </w:rPr>
              <w:t>The record names it and nothing imports it. It is hashed and shipped on every deploy and never called.</w:t>
            </w:r>
          </w:p>
        </w:tc>
      </w:tr>
      <w:tr>
        <w:tc>
          <w:tcPr>
            <w:tcW w:type="dxa" w:w="1584"/>
          </w:tcPr>
          <w:p>
            <w:r/>
            <w:r>
              <w:rPr>
                <w:sz w:val="17"/>
              </w:rPr>
              <w:t>Absent</w:t>
            </w:r>
          </w:p>
        </w:tc>
        <w:tc>
          <w:tcPr>
            <w:tcW w:type="dxa" w:w="7344"/>
          </w:tcPr>
          <w:p>
            <w:r/>
            <w:r>
              <w:rPr>
                <w:sz w:val="17"/>
              </w:rPr>
              <w:t>It does not exist, and its work is being done somewhere that does not own it.</w:t>
            </w:r>
          </w:p>
        </w:tc>
      </w:tr>
    </w:tbl>
    <w:p/>
    <w:p>
      <w:r>
        <w:t>The gate reads three things and compares them: the router's dispatch table, the tool modules on disk, and the declaration. It reports each of the twelve cells and a total.</w:t>
      </w:r>
    </w:p>
    <w:p>
      <w:r>
        <w:t>There is no agreed baseline, and that is the strongest argument for building the gate before anything else. Two careful independent readings of the same code produced two different counts of how many cells conform — one said six, the other nine — and neither reader was careless. They disagreed about what conformance means at the edges: whether a tool that is declared and whose work is performed by another tool's module counts; whether a resolution that runs inside a search rather than being offered counts as the vocabulary tool existing.</w:t>
      </w:r>
    </w:p>
    <w:p>
      <w:r>
        <w:t>Those are not quibbles. They are exactly the questions a program has to answer to produce a number at all, and a definition that two readers can take two ways is a definition that will be taken two ways for the whole length of the work. Phase 0 settles them by being forced to: code cannot hold an opinion loosely.</w:t>
      </w:r>
    </w:p>
    <w:p>
      <w:pPr/>
      <w:r>
        <w:rPr>
          <w:b/>
        </w:rPr>
        <w:t xml:space="preserve">So the first deliverable is not a number, it is a definition that produces one. </w:t>
      </w:r>
      <w:r>
        <w:t>Whatever the gate says on its first run is the baseline, and this document does not assert a figure it would then be measured against.</w:t>
      </w:r>
    </w:p>
    <w:p>
      <w:pPr>
        <w:pStyle w:val="Heading2"/>
      </w:pPr>
      <w:r>
        <w:t>2.1 What the gate refuses</w:t>
      </w:r>
    </w:p>
    <w:p>
      <w:pPr>
        <w:pStyle w:val="ListBullet"/>
      </w:pPr>
      <w:r>
        <w:rPr>
          <w:b/>
        </w:rPr>
        <w:t xml:space="preserve">A commit that lowers the number. </w:t>
      </w:r>
      <w:r>
        <w:t>A capability may not lose a conforming tool.</w:t>
      </w:r>
    </w:p>
    <w:p>
      <w:pPr>
        <w:pStyle w:val="ListBullet"/>
      </w:pPr>
      <w:r>
        <w:rPr>
          <w:b/>
        </w:rPr>
        <w:t xml:space="preserve">A tool that is dispatched and not declared. </w:t>
      </w:r>
      <w:r>
        <w:t>This is the failure that has no other detector.</w:t>
      </w:r>
    </w:p>
    <w:p>
      <w:pPr>
        <w:pStyle w:val="ListBullet"/>
      </w:pPr>
      <w:r>
        <w:rPr>
          <w:b/>
        </w:rPr>
        <w:t xml:space="preserve">A tool that is declared and not reachable. </w:t>
      </w:r>
      <w:r>
        <w:t>Either it is wired in or it is deleted; it does not stay in both places while doing nothing.</w:t>
      </w:r>
    </w:p>
    <w:p>
      <w:pPr>
        <w:pStyle w:val="ListBullet"/>
      </w:pPr>
      <w:r>
        <w:rPr>
          <w:b/>
        </w:rPr>
        <w:t xml:space="preserve">A declared tool with no server or endpoint, </w:t>
      </w:r>
      <w:r>
        <w:t>because a caller would then have to know an address the record does not state.</w:t>
      </w:r>
    </w:p>
    <w:p>
      <w:pPr>
        <w:pStyle w:val="Heading1"/>
      </w:pPr>
      <w:r>
        <w:t>3. The phases</w:t>
      </w:r>
    </w:p>
    <w:p>
      <w:r>
        <w:t>Each phase depends on the one before it. Nothing here is parallel, because every phase moves the number the next phase is measured against.</w:t>
      </w:r>
    </w:p>
    <w:p>
      <w:pPr>
        <w:pStyle w:val="Heading2"/>
      </w:pPr>
      <w:r>
        <w:t>Phase 0 — the gate</w:t>
      </w:r>
    </w:p>
    <w:p>
      <w:r>
        <w:t>Build the conformance check and run it. No code moves. The deliverable is a number and a per-cell report.</w:t>
      </w:r>
    </w:p>
    <w:p>
      <w:r>
        <w:t>Proof: the gate reports twelve cells and a total, and the total matches an independent reading of the code.</w:t>
      </w:r>
    </w:p>
    <w:p>
      <w:r>
        <w:t>If this phase cannot be completed — if the twelve cells cannot be checked mechanically — then the architecture is not defined well enough to refactor toward, and that is worth knowing in a day rather than three weeks in.</w:t>
      </w:r>
    </w:p>
    <w:p>
      <w:pPr>
        <w:pStyle w:val="Heading2"/>
      </w:pPr>
      <w:r>
        <w:t>Phase 1 — the contract</w:t>
      </w:r>
    </w:p>
    <w:p>
      <w:r>
        <w:t>One base contract in the library: what a capability's search takes (the utterance and the prior dialogue, and nothing else), what it returns (rows, the vocabulary offered, what is still needed, what was mined, paging), how it fails, and where it is served — read from the declaration rather than written into the caller. No behaviour changes and nothing moves.</w:t>
      </w:r>
    </w:p>
    <w:p>
      <w:r>
        <w:t>This is first among the changes because splitting the routes without it produces several files that disagree in the same ways the several routes disagree today.</w:t>
      </w:r>
    </w:p>
    <w:p>
      <w:r>
        <w:t>Proof: the contract exists and the gate can test conformance against it. The number does not move.</w:t>
      </w:r>
    </w:p>
    <w:p>
      <w:pPr>
        <w:pStyle w:val="Heading2"/>
      </w:pPr>
      <w:r>
        <w:t>Phase 2 — split the routes by capability</w:t>
      </w:r>
    </w:p>
    <w:p>
      <w:r>
        <w:t>One file of roughly 2000 lines holds every FindCare route, which is why the capabilities have no boundary from one another and why two neighbours in one file implement the same idea two ways. Each capability's routes move to the feature directory that owns them, conforming to Phase 1's contract as they move.</w:t>
      </w:r>
    </w:p>
    <w:p>
      <w:r>
        <w:t>Order within the phase: the detail routes first — smallest, best covered by tests — to prove the pattern before the search routes move.</w:t>
      </w:r>
    </w:p>
    <w:p>
      <w:r>
        <w:t>Proof: per capability, the build passes, the deploy verifies, the existing test suites hold at their known counts, and the gate's number does not fall.</w:t>
      </w:r>
    </w:p>
    <w:p>
      <w:pPr>
        <w:pStyle w:val="Heading2"/>
      </w:pPr>
      <w:r>
        <w:t>Phase 3 — the router dispatches, and stops working</w:t>
      </w:r>
    </w:p>
    <w:p>
      <w:r>
        <w:t>The three search actions dispatch the tool named for them; the inline blocks in the router are deleted. Safe only now, because the far side is a per-capability module rather than a shared file.</w:t>
      </w:r>
    </w:p>
    <w:p>
      <w:r>
        <w:t>Proof: the router contains no HTTP client and no stream shaping for a search. The gate's number rises by the cells this fixes.</w:t>
      </w:r>
    </w:p>
    <w:p>
      <w:pPr>
        <w:pStyle w:val="Heading2"/>
      </w:pPr>
      <w:r>
        <w:t>Phase 4 — fill what is missing</w:t>
      </w:r>
    </w:p>
    <w:p>
      <w:r>
        <w:t>The facility page declares its vocabulary chooser and is offered the panel. Then the open question is settled before anything is built for it: whether the clinical-trial condition vocabulary can be a third partition of the one chooser, or is a separate catalogue and therefore a separate tool. That is a spike, and it is cheap. If the answer is that it cannot be one chooser, then the architecture is two shapes and the FindCare architecture is corrected to say so rather than a symmetry being forced that is not there.</w:t>
      </w:r>
    </w:p>
    <w:p>
      <w:r>
        <w:t>Then the trial capability gains its vocabulary tool and its detail tool, and the detail stops being painted out of the cached search result.</w:t>
      </w:r>
    </w:p>
    <w:p>
      <w:r>
        <w:t>Proof: the gate reports 12 of 12.</w:t>
      </w:r>
    </w:p>
    <w:p>
      <w:pPr>
        <w:pStyle w:val="Heading2"/>
      </w:pPr>
      <w:r>
        <w:t>Phase 5 — retire the legacy directory</w:t>
      </w:r>
    </w:p>
    <w:p>
      <w:r>
        <w:t>By this point the FindCare backend has left it. What remains is the frontend shell, the about-content files, and the shared operations tooling, plus the build and deploy references that point into it. Each population moves to the feature that owns it, the references are repointed, and the directory is deleted.</w:t>
      </w:r>
    </w:p>
    <w:p>
      <w:r>
        <w:t>Proof: the directory does not exist, no declaration names a path inside it, and the build and deploy both pass.</w:t>
      </w:r>
    </w:p>
    <w:p>
      <w:pPr>
        <w:pStyle w:val="Heading1"/>
      </w:pPr>
      <w:r>
        <w:t>4. What one step looks like</w:t>
      </w:r>
    </w:p>
    <w:p>
      <w:r>
        <w:t>Every step in Phases 2 and 5 is the same five moves, and the existing gates make a half-done step fail loudly rather than ship:</w:t>
      </w:r>
    </w:p>
    <w:tbl>
      <w:tblPr>
        <w:tblStyle w:val="TableGrid"/>
        <w:tblW w:type="auto" w:w="0"/>
        <w:tblLook w:firstColumn="1" w:firstRow="1" w:lastColumn="0" w:lastRow="0" w:noHBand="0" w:noVBand="1" w:val="04A0"/>
      </w:tblPr>
      <w:tblGrid>
        <w:gridCol w:w="2880"/>
        <w:gridCol w:w="2880"/>
        <w:gridCol w:w="2880"/>
      </w:tblGrid>
      <w:tr>
        <w:tc>
          <w:tcPr>
            <w:tcW w:type="dxa" w:w="504"/>
          </w:tcPr>
          <w:p>
            <w:r/>
            <w:r>
              <w:rPr>
                <w:b/>
                <w:sz w:val="17"/>
              </w:rPr>
            </w:r>
          </w:p>
        </w:tc>
        <w:tc>
          <w:tcPr>
            <w:tcW w:type="dxa" w:w="3456"/>
          </w:tcPr>
          <w:p>
            <w:r/>
            <w:r>
              <w:rPr>
                <w:b/>
                <w:sz w:val="17"/>
              </w:rPr>
              <w:t>Move</w:t>
            </w:r>
          </w:p>
        </w:tc>
        <w:tc>
          <w:tcPr>
            <w:tcW w:type="dxa" w:w="4968"/>
          </w:tcPr>
          <w:p>
            <w:r/>
            <w:r>
              <w:rPr>
                <w:b/>
                <w:sz w:val="17"/>
              </w:rPr>
              <w:t>What catches a mistake</w:t>
            </w:r>
          </w:p>
        </w:tc>
      </w:tr>
      <w:tr>
        <w:tc>
          <w:tcPr>
            <w:tcW w:type="dxa" w:w="504"/>
          </w:tcPr>
          <w:p>
            <w:r/>
            <w:r>
              <w:rPr>
                <w:sz w:val="17"/>
              </w:rPr>
              <w:t>1</w:t>
            </w:r>
          </w:p>
        </w:tc>
        <w:tc>
          <w:tcPr>
            <w:tcW w:type="dxa" w:w="3456"/>
          </w:tcPr>
          <w:p>
            <w:r/>
            <w:r>
              <w:rPr>
                <w:sz w:val="17"/>
              </w:rPr>
              <w:t>Move the files.</w:t>
            </w:r>
          </w:p>
        </w:tc>
        <w:tc>
          <w:tcPr>
            <w:tcW w:type="dxa" w:w="4968"/>
          </w:tcPr>
          <w:p>
            <w:r/>
            <w:r>
              <w:rPr>
                <w:sz w:val="17"/>
              </w:rPr>
              <w:t>—</w:t>
            </w:r>
          </w:p>
        </w:tc>
      </w:tr>
      <w:tr>
        <w:tc>
          <w:tcPr>
            <w:tcW w:type="dxa" w:w="504"/>
          </w:tcPr>
          <w:p>
            <w:r/>
            <w:r>
              <w:rPr>
                <w:sz w:val="17"/>
              </w:rPr>
              <w:t>2</w:t>
            </w:r>
          </w:p>
        </w:tc>
        <w:tc>
          <w:tcPr>
            <w:tcW w:type="dxa" w:w="3456"/>
          </w:tcPr>
          <w:p>
            <w:r/>
            <w:r>
              <w:rPr>
                <w:sz w:val="17"/>
              </w:rPr>
              <w:t>Update the declaration to match.</w:t>
            </w:r>
          </w:p>
        </w:tc>
        <w:tc>
          <w:tcPr>
            <w:tcW w:type="dxa" w:w="4968"/>
          </w:tcPr>
          <w:p>
            <w:r/>
            <w:r>
              <w:rPr>
                <w:sz w:val="17"/>
              </w:rPr>
              <w:t>The build refuses a source_location that is not on disk.</w:t>
            </w:r>
          </w:p>
        </w:tc>
      </w:tr>
      <w:tr>
        <w:tc>
          <w:tcPr>
            <w:tcW w:type="dxa" w:w="504"/>
          </w:tcPr>
          <w:p>
            <w:r/>
            <w:r>
              <w:rPr>
                <w:sz w:val="17"/>
              </w:rPr>
              <w:t>3</w:t>
            </w:r>
          </w:p>
        </w:tc>
        <w:tc>
          <w:tcPr>
            <w:tcW w:type="dxa" w:w="3456"/>
          </w:tcPr>
          <w:p>
            <w:r/>
            <w:r>
              <w:rPr>
                <w:sz w:val="17"/>
              </w:rPr>
              <w:t>Build.</w:t>
            </w:r>
          </w:p>
        </w:tc>
        <w:tc>
          <w:tcPr>
            <w:tcW w:type="dxa" w:w="4968"/>
          </w:tcPr>
          <w:p>
            <w:r/>
            <w:r>
              <w:rPr>
                <w:sz w:val="17"/>
              </w:rPr>
              <w:t>The build refuses content_hash drift between disk and record.</w:t>
            </w:r>
          </w:p>
        </w:tc>
      </w:tr>
      <w:tr>
        <w:tc>
          <w:tcPr>
            <w:tcW w:type="dxa" w:w="504"/>
          </w:tcPr>
          <w:p>
            <w:r/>
            <w:r>
              <w:rPr>
                <w:sz w:val="17"/>
              </w:rPr>
              <w:t>4</w:t>
            </w:r>
          </w:p>
        </w:tc>
        <w:tc>
          <w:tcPr>
            <w:tcW w:type="dxa" w:w="3456"/>
          </w:tcPr>
          <w:p>
            <w:r/>
            <w:r>
              <w:rPr>
                <w:sz w:val="17"/>
              </w:rPr>
              <w:t>Deploy.</w:t>
            </w:r>
          </w:p>
        </w:tc>
        <w:tc>
          <w:tcPr>
            <w:tcW w:type="dxa" w:w="4968"/>
          </w:tcPr>
          <w:p>
            <w:r/>
            <w:r>
              <w:rPr>
                <w:sz w:val="17"/>
              </w:rPr>
              <w:t>The deploy verifies the running target reports the build it carries.</w:t>
            </w:r>
          </w:p>
        </w:tc>
      </w:tr>
      <w:tr>
        <w:tc>
          <w:tcPr>
            <w:tcW w:type="dxa" w:w="504"/>
          </w:tcPr>
          <w:p>
            <w:r/>
            <w:r>
              <w:rPr>
                <w:sz w:val="17"/>
              </w:rPr>
              <w:t>5</w:t>
            </w:r>
          </w:p>
        </w:tc>
        <w:tc>
          <w:tcPr>
            <w:tcW w:type="dxa" w:w="3456"/>
          </w:tcPr>
          <w:p>
            <w:r/>
            <w:r>
              <w:rPr>
                <w:sz w:val="17"/>
              </w:rPr>
              <w:t>Run the conformance gate.</w:t>
            </w:r>
          </w:p>
        </w:tc>
        <w:tc>
          <w:tcPr>
            <w:tcW w:type="dxa" w:w="4968"/>
          </w:tcPr>
          <w:p>
            <w:r/>
            <w:r>
              <w:rPr>
                <w:sz w:val="17"/>
              </w:rPr>
              <w:t>The number moved in the right direction, or the step is not done.</w:t>
            </w:r>
          </w:p>
        </w:tc>
      </w:tr>
    </w:tbl>
    <w:p/>
    <w:p>
      <w:pPr>
        <w:pStyle w:val="Heading1"/>
      </w:pPr>
      <w:r>
        <w:t>5. What this plan does not do</w:t>
      </w:r>
    </w:p>
    <w:p>
      <w:pPr>
        <w:pStyle w:val="ListBullet"/>
      </w:pPr>
      <w:r>
        <w:rPr>
          <w:b/>
        </w:rPr>
        <w:t xml:space="preserve">It does not touch EvaluateCare. </w:t>
      </w:r>
      <w:r>
        <w:t>The point of the exercise is that EvaluateCare is built against a reference that is finished and measured, not against one being changed underneath it.</w:t>
      </w:r>
    </w:p>
    <w:p>
      <w:pPr>
        <w:pStyle w:val="ListBullet"/>
      </w:pPr>
      <w:r>
        <w:rPr>
          <w:b/>
        </w:rPr>
        <w:t xml:space="preserve">It does not change what a search returns. </w:t>
      </w:r>
      <w:r>
        <w:t>Every phase is structural. A person using the application should see no difference until Phase 4, which adds the facility panel and the trial detail.</w:t>
      </w:r>
    </w:p>
    <w:p>
      <w:pPr>
        <w:pStyle w:val="ListBullet"/>
      </w:pPr>
      <w:r>
        <w:rPr>
          <w:b/>
        </w:rPr>
        <w:t xml:space="preserve">It does not fix the record being written by hand. </w:t>
      </w:r>
      <w:r>
        <w:t>The conformance gate closes the tool-level case; the general case — that what is deployed is not held to what the repository says, in either direction — is BUG-008 and is larger than this plan.</w:t>
      </w:r>
    </w:p>
    <w:p>
      <w:pPr>
        <w:pStyle w:val="Heading1"/>
      </w:pPr>
      <w:r>
        <w:t>6. The one number</w:t>
      </w:r>
    </w:p>
    <w:p>
      <w:r>
        <w:t>At any moment during this work the question "how far along is it" has a single answer produced by a program: how many of the twelve cells conform. The work is finished when it reads twelve and the gate refuses anything that would lower it. Until Phase 0 has run, nobody knows the number — which is itself the finding this plan opens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B7A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B7A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B7A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