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The Refactor — Plan</w:t>
      </w:r>
    </w:p>
    <w:p>
      <w:r>
        <w:rPr>
          <w:i/>
          <w:color w:val="6B7280"/>
          <w:sz w:val="19"/>
        </w:rPr>
        <w:t>How the code reaches the target the five architectures state. Its exit criterion is that the Code directory does not exist.</w:t>
      </w:r>
    </w:p>
    <w:p>
      <w:pPr>
        <w:pStyle w:val="Heading1"/>
      </w:pPr>
      <w:r>
        <w:t>The Refactor — Plan</w:t>
      </w:r>
    </w:p>
    <w:p>
      <w:r>
        <w:t>Artifact 6 of 6. The five architecture documents state the target. This states how the code gets there, in what order, and what proves each step.</w:t>
      </w:r>
    </w:p>
    <w:p>
      <w:pPr>
        <w:pStyle w:val="Heading2"/>
      </w:pPr>
      <w:r>
        <w:t>0. The exit criterion, first</w:t>
      </w:r>
    </w:p>
    <w:p>
      <w:r>
        <w:t>This plan is finished when three commands agree, and not before.</w:t>
      </w:r>
    </w:p>
    <w:p>
      <w:pPr>
        <w:spacing w:after="0"/>
        <w:ind w:left="360"/>
      </w:pPr>
      <w:r>
        <w:rPr>
          <w:rFonts w:ascii="Courier New" w:hAnsi="Courier New"/>
          <w:sz w:val="22"/>
        </w:rPr>
        <w:t>git ls-files Code                    -&gt;  empty</w:t>
      </w:r>
    </w:p>
    <w:p>
      <w:pPr>
        <w:spacing w:after="0"/>
        <w:ind w:left="360"/>
      </w:pPr>
      <w:r>
        <w:rPr>
          <w:rFonts w:ascii="Courier New" w:hAnsi="Courier New"/>
          <w:sz w:val="22"/>
        </w:rPr>
        <w:t>test -d Code                         -&gt;  false</w:t>
      </w:r>
    </w:p>
    <w:p>
      <w:pPr>
        <w:spacing w:after="0"/>
        <w:ind w:left="360"/>
      </w:pPr>
      <w:r>
        <w:rPr>
          <w:rFonts w:ascii="Courier New" w:hAnsi="Courier New"/>
          <w:sz w:val="22"/>
        </w:rPr>
        <w:t>grep -rn "Code/" --include=* .       -&gt;  no hit from any source file,</w:t>
      </w:r>
    </w:p>
    <w:p>
      <w:pPr>
        <w:spacing w:after="0"/>
        <w:ind w:left="360"/>
      </w:pPr>
      <w:r>
        <w:rPr>
          <w:rFonts w:ascii="Courier New" w:hAnsi="Courier New"/>
          <w:sz w:val="22"/>
        </w:rPr>
        <w:t xml:space="preserve">                                         config, build script, test, or</w:t>
      </w:r>
    </w:p>
    <w:p>
      <w:pPr>
        <w:spacing w:after="0"/>
        <w:ind w:left="360"/>
      </w:pPr>
      <w:r>
        <w:rPr>
          <w:rFonts w:ascii="Courier New" w:hAnsi="Courier New"/>
          <w:sz w:val="22"/>
        </w:rPr>
        <w:t xml:space="preserve">                                         record</w:t>
      </w:r>
    </w:p>
    <w:p/>
    <w:p>
      <w:r>
        <w:t>That is not a summary of the plan. It is the plan's definition of done, it is mechanical, and it is the one claim about this work that cannot be softened by anybody's judgement — mine included.</w:t>
      </w:r>
    </w:p>
    <w:p>
      <w:r>
        <w:rPr>
          <w:b/>
        </w:rPr>
        <w:t>Why the directory must go.</w:t>
      </w:r>
      <w:r>
        <w:t xml:space="preserve"> The code tree mirrors the epic and feature tree, because that tree is the organisation and the general ledger expressed once. A file under </w:t>
      </w:r>
      <w:r>
        <w:rPr>
          <w:rFonts w:ascii="Consolas" w:hAnsi="Consolas"/>
          <w:sz w:val="17"/>
        </w:rPr>
        <w:t>Code/</w:t>
      </w:r>
      <w:r>
        <w:t xml:space="preserve"> belongs to no feature, so the record cannot name its owner, no cost centre carries it, and no requirement authorises it. Seventy-one tracked files are in that position today. The architecture is not partly true while they remain; it is a description of a different repository.</w:t>
      </w:r>
    </w:p>
    <w:p>
      <w:pPr>
        <w:pStyle w:val="Heading2"/>
      </w:pPr>
      <w:r>
        <w:t>1. Why the measurement is built before the change</w:t>
      </w:r>
    </w:p>
    <w:p>
      <w:r>
        <w:t>The state being migrated away from is the output of a previous refactor. So the question is not what to change — that is settled — but why the result holds this time.</w:t>
      </w:r>
    </w:p>
    <w:p>
      <w:r>
        <w:t>Every gate in this firm checks that a declaration is well formed and that the declared thing is present. None checks that the declaration is true. That single gap produced, with a green build throughout: eighty-eight percent of declared files attributed to the wrong feature; a capability catalogue stated in three places with three different contents; a tool declared and shipped that nothing imports, beside a tool that runs and is declared nowhere; and a conformance check that reports green while the principle it tests is violated in nine places.</w:t>
      </w:r>
    </w:p>
    <w:p>
      <w:r>
        <w:t>A plan that installs its measurement at the end spends its whole length on judgement and then finds out. So Phase 0 builds the gates, and every later phase is measured by them.</w:t>
      </w:r>
    </w:p>
    <w:p>
      <w:r>
        <w:rPr>
          <w:b/>
        </w:rPr>
        <w:t>And the gates must name effects, not spellings.</w:t>
      </w:r>
      <w:r>
        <w:t xml:space="preserve"> A check that names a mechanism inherits that mechanism's lifetime; a check that names an effect outlives it. The check that reports green today does so because it was written from a description of a bypass that no longer exists while the real bypass runs untouched. Every gate in Phase 0 is written from behaviour and must exhibit a live true positive before it counts as built: a check that has never gone red against a real violation is a hypothesis.</w:t>
      </w:r>
    </w:p>
    <w:p>
      <w:pPr>
        <w:pStyle w:val="Heading2"/>
      </w:pPr>
      <w:r>
        <w:t>2. Four decisions I cannot take</w:t>
      </w:r>
    </w:p>
    <w:p>
      <w:r>
        <w:t>Each is architecture. Each blocks a phase. None is large.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decision</w:t>
            </w:r>
          </w:p>
        </w:tc>
        <w:tc>
          <w:tcPr>
            <w:tcW w:type="dxa" w:w="2160"/>
          </w:tcPr>
          <w:p>
            <w:r>
              <w:rPr>
                <w:b/>
                <w:sz w:val="22"/>
              </w:rPr>
            </w:r>
            <w:r>
              <w:rPr>
                <w:b/>
                <w:sz w:val="22"/>
              </w:rPr>
              <w:t>why it is yours</w:t>
            </w:r>
          </w:p>
        </w:tc>
        <w:tc>
          <w:tcPr>
            <w:tcW w:type="dxa" w:w="2160"/>
          </w:tcPr>
          <w:p>
            <w:r>
              <w:rPr>
                <w:b/>
                <w:sz w:val="22"/>
              </w:rPr>
            </w:r>
            <w:r>
              <w:rPr>
                <w:b/>
                <w:sz w:val="22"/>
              </w:rPr>
              <w:t>options</w:t>
            </w:r>
          </w:p>
        </w:tc>
      </w:tr>
      <w:tr>
        <w:tc>
          <w:tcPr>
            <w:tcW w:type="dxa" w:w="2160"/>
          </w:tcPr>
          <w:p>
            <w:r>
              <w:rPr>
                <w:sz w:val="22"/>
              </w:rPr>
            </w:r>
            <w:r>
              <w:rPr>
                <w:sz w:val="22"/>
              </w:rPr>
              <w:t>D1</w:t>
            </w:r>
          </w:p>
        </w:tc>
        <w:tc>
          <w:tcPr>
            <w:tcW w:type="dxa" w:w="2160"/>
          </w:tcPr>
          <w:p>
            <w:r>
              <w:rPr>
                <w:sz w:val="22"/>
              </w:rPr>
            </w:r>
            <w:r>
              <w:rPr>
                <w:sz w:val="22"/>
              </w:rPr>
              <w:t>Where do tests live?</w:t>
            </w:r>
          </w:p>
        </w:tc>
        <w:tc>
          <w:tcPr>
            <w:tcW w:type="dxa" w:w="2160"/>
          </w:tcPr>
          <w:p>
            <w:r>
              <w:rPr>
                <w:sz w:val="22"/>
              </w:rPr>
            </w:r>
            <w:r>
              <w:rPr>
                <w:sz w:val="22"/>
              </w:rPr>
              <w:t>16 test files have no feature home, and no convention exists. Inventing one is inventing architecture.</w:t>
            </w:r>
          </w:p>
        </w:tc>
        <w:tc>
          <w:tcPr>
            <w:tcW w:type="dxa" w:w="2160"/>
          </w:tcPr>
          <w:p>
            <w:r>
              <w:rPr>
                <w:sz w:val="22"/>
              </w:rPr>
            </w:r>
            <w:r>
              <w:rPr>
                <w:sz w:val="22"/>
              </w:rPr>
              <w:t xml:space="preserve">per-feature </w:t>
            </w:r>
            <w:r>
              <w:rPr>
                <w:rFonts w:ascii="Consolas" w:hAnsi="Consolas"/>
                <w:sz w:val="22"/>
              </w:rPr>
              <w:t>tests/</w:t>
            </w:r>
            <w:r>
              <w:rPr>
                <w:sz w:val="22"/>
              </w:rPr>
              <w:t xml:space="preserve">; one top-level </w:t>
            </w:r>
            <w:r>
              <w:rPr>
                <w:rFonts w:ascii="Consolas" w:hAnsi="Consolas"/>
                <w:sz w:val="22"/>
              </w:rPr>
              <w:t>tests/</w:t>
            </w:r>
            <w:r>
              <w:rPr>
                <w:sz w:val="22"/>
              </w:rPr>
              <w:t xml:space="preserve"> mirroring the feature tree; or the existing </w:t>
            </w:r>
            <w:r>
              <w:rPr>
                <w:rFonts w:ascii="Consolas" w:hAnsi="Consolas"/>
                <w:sz w:val="22"/>
              </w:rPr>
              <w:t>architecture/*/tests/</w:t>
            </w:r>
            <w:r>
              <w:rPr>
                <w:sz w:val="22"/>
              </w:rPr>
              <w:t xml:space="preserve"> pattern</w:t>
            </w:r>
          </w:p>
        </w:tc>
      </w:tr>
      <w:tr>
        <w:tc>
          <w:tcPr>
            <w:tcW w:type="dxa" w:w="2160"/>
          </w:tcPr>
          <w:p>
            <w:r>
              <w:rPr>
                <w:sz w:val="22"/>
              </w:rPr>
            </w:r>
            <w:r>
              <w:rPr>
                <w:sz w:val="22"/>
              </w:rPr>
              <w:t>D2</w:t>
            </w:r>
          </w:p>
        </w:tc>
        <w:tc>
          <w:tcPr>
            <w:tcW w:type="dxa" w:w="2160"/>
          </w:tcPr>
          <w:p>
            <w:r>
              <w:rPr>
                <w:sz w:val="22"/>
              </w:rPr>
            </w:r>
            <w:r>
              <w:rPr>
                <w:sz w:val="22"/>
              </w:rPr>
              <w:t>Where does the React app shell live?</w:t>
            </w:r>
          </w:p>
        </w:tc>
        <w:tc>
          <w:tcPr>
            <w:tcW w:type="dxa" w:w="2160"/>
          </w:tcPr>
          <w:p>
            <w:r>
              <w:rPr>
                <w:sz w:val="22"/>
              </w:rPr>
            </w:r>
            <w:r>
              <w:rPr>
                <w:rFonts w:ascii="Consolas" w:hAnsi="Consolas"/>
                <w:sz w:val="22"/>
              </w:rPr>
              <w:t>index.html</w:t>
            </w:r>
            <w:r>
              <w:rPr>
                <w:sz w:val="22"/>
              </w:rPr>
              <w:t xml:space="preserve">, </w:t>
            </w:r>
            <w:r>
              <w:rPr>
                <w:rFonts w:ascii="Consolas" w:hAnsi="Consolas"/>
                <w:sz w:val="22"/>
              </w:rPr>
              <w:t>main.tsx</w:t>
            </w:r>
            <w:r>
              <w:rPr>
                <w:sz w:val="22"/>
              </w:rPr>
              <w:t xml:space="preserve">, </w:t>
            </w:r>
            <w:r>
              <w:rPr>
                <w:rFonts w:ascii="Consolas" w:hAnsi="Consolas"/>
                <w:sz w:val="22"/>
              </w:rPr>
              <w:t>App.tsx</w:t>
            </w:r>
            <w:r>
              <w:rPr>
                <w:sz w:val="22"/>
              </w:rPr>
              <w:t xml:space="preserve">, </w:t>
            </w:r>
            <w:r>
              <w:rPr>
                <w:rFonts w:ascii="Consolas" w:hAnsi="Consolas"/>
                <w:sz w:val="22"/>
              </w:rPr>
              <w:t>vite-env.d.ts</w:t>
            </w:r>
            <w:r>
              <w:rPr>
                <w:sz w:val="22"/>
              </w:rPr>
              <w:t xml:space="preserve">, </w:t>
            </w:r>
            <w:r>
              <w:rPr>
                <w:rFonts w:ascii="Consolas" w:hAnsi="Consolas"/>
                <w:sz w:val="22"/>
              </w:rPr>
              <w:t>.env.example</w:t>
            </w:r>
            <w:r>
              <w:rPr>
                <w:sz w:val="22"/>
              </w:rPr>
              <w:t xml:space="preserve">, </w:t>
            </w:r>
            <w:r>
              <w:rPr>
                <w:rFonts w:ascii="Consolas" w:hAnsi="Consolas"/>
                <w:sz w:val="22"/>
              </w:rPr>
              <w:t>_redirects</w:t>
            </w:r>
            <w:r>
              <w:rPr>
                <w:sz w:val="22"/>
              </w:rPr>
              <w:t xml:space="preserve"> are the application itself, not any one feature.</w:t>
            </w:r>
          </w:p>
        </w:tc>
        <w:tc>
          <w:tcPr>
            <w:tcW w:type="dxa" w:w="2160"/>
          </w:tcPr>
          <w:p>
            <w:r>
              <w:rPr>
                <w:sz w:val="22"/>
              </w:rPr>
            </w:r>
            <w:r>
              <w:rPr>
                <w:sz w:val="22"/>
              </w:rPr>
              <w:t xml:space="preserve">a top-level </w:t>
            </w:r>
            <w:r>
              <w:rPr>
                <w:rFonts w:ascii="Consolas" w:hAnsi="Consolas"/>
                <w:sz w:val="22"/>
              </w:rPr>
              <w:t>app/</w:t>
            </w:r>
            <w:r>
              <w:rPr>
                <w:sz w:val="22"/>
              </w:rPr>
              <w:t xml:space="preserve">; </w:t>
            </w:r>
            <w:r>
              <w:rPr>
                <w:rFonts w:ascii="Consolas" w:hAnsi="Consolas"/>
                <w:sz w:val="22"/>
              </w:rPr>
              <w:t>sharedServices/Code/displayChrome/</w:t>
            </w:r>
            <w:r>
              <w:rPr>
                <w:sz w:val="22"/>
              </w:rPr>
              <w:t xml:space="preserve">; or </w:t>
            </w:r>
            <w:r>
              <w:rPr>
                <w:rFonts w:ascii="Consolas" w:hAnsi="Consolas"/>
                <w:sz w:val="22"/>
              </w:rPr>
              <w:t>Website/</w:t>
            </w:r>
            <w:r>
              <w:rPr>
                <w:sz w:val="22"/>
              </w:rPr>
              <w:t xml:space="preserve"> beside the wrapper</w:t>
            </w:r>
          </w:p>
        </w:tc>
      </w:tr>
      <w:tr>
        <w:tc>
          <w:tcPr>
            <w:tcW w:type="dxa" w:w="2160"/>
          </w:tcPr>
          <w:p>
            <w:r>
              <w:rPr>
                <w:sz w:val="22"/>
              </w:rPr>
            </w:r>
            <w:r>
              <w:rPr>
                <w:sz w:val="22"/>
              </w:rPr>
              <w:t>D3</w:t>
            </w:r>
          </w:p>
        </w:tc>
        <w:tc>
          <w:tcPr>
            <w:tcW w:type="dxa" w:w="2160"/>
          </w:tcPr>
          <w:p>
            <w:r>
              <w:rPr>
                <w:sz w:val="22"/>
              </w:rPr>
            </w:r>
            <w:r>
              <w:rPr>
                <w:sz w:val="22"/>
              </w:rPr>
              <w:t>Where do the local certificates live?</w:t>
            </w:r>
          </w:p>
        </w:tc>
        <w:tc>
          <w:tcPr>
            <w:tcW w:type="dxa" w:w="2160"/>
          </w:tcPr>
          <w:p>
            <w:r>
              <w:rPr>
                <w:sz w:val="22"/>
              </w:rPr>
            </w:r>
            <w:r>
              <w:rPr>
                <w:sz w:val="22"/>
              </w:rPr>
              <w:t xml:space="preserve">Six </w:t>
            </w:r>
            <w:r>
              <w:rPr>
                <w:rFonts w:ascii="Consolas" w:hAnsi="Consolas"/>
                <w:sz w:val="22"/>
              </w:rPr>
              <w:t>.crt</w:t>
            </w:r>
            <w:r>
              <w:rPr>
                <w:sz w:val="22"/>
              </w:rPr>
              <w:t xml:space="preserve"> files. Deploy may resolve them by path, and moving a certificate is a security-surface change.</w:t>
            </w:r>
          </w:p>
        </w:tc>
        <w:tc>
          <w:tcPr>
            <w:tcW w:type="dxa" w:w="2160"/>
          </w:tcPr>
          <w:p>
            <w:r>
              <w:rPr>
                <w:sz w:val="22"/>
              </w:rPr>
            </w:r>
            <w:r>
              <w:rPr>
                <w:rFonts w:ascii="Consolas" w:hAnsi="Consolas"/>
                <w:sz w:val="22"/>
              </w:rPr>
              <w:t>architecture/IdentityCertificatesAndAuthentications/</w:t>
            </w:r>
            <w:r>
              <w:rPr>
                <w:sz w:val="22"/>
              </w:rPr>
              <w:t>; keep them out of git entirely and mint on demand; or a decision that they are already dead</w:t>
            </w:r>
          </w:p>
        </w:tc>
      </w:tr>
      <w:tr>
        <w:tc>
          <w:tcPr>
            <w:tcW w:type="dxa" w:w="2160"/>
          </w:tcPr>
          <w:p>
            <w:r>
              <w:rPr>
                <w:sz w:val="22"/>
              </w:rPr>
            </w:r>
            <w:r>
              <w:rPr>
                <w:sz w:val="22"/>
              </w:rPr>
              <w:t>D4</w:t>
            </w:r>
          </w:p>
        </w:tc>
        <w:tc>
          <w:tcPr>
            <w:tcW w:type="dxa" w:w="2160"/>
          </w:tcPr>
          <w:p>
            <w:r>
              <w:rPr>
                <w:sz w:val="22"/>
              </w:rPr>
            </w:r>
            <w:r>
              <w:rPr>
                <w:rFonts w:ascii="Consolas" w:hAnsi="Consolas"/>
                <w:sz w:val="22"/>
              </w:rPr>
              <w:t>prompt_system_maker.py</w:t>
            </w:r>
          </w:p>
        </w:tc>
        <w:tc>
          <w:tcPr>
            <w:tcW w:type="dxa" w:w="2160"/>
          </w:tcPr>
          <w:p>
            <w:r>
              <w:rPr>
                <w:sz w:val="22"/>
              </w:rPr>
            </w:r>
            <w:r>
              <w:rPr>
                <w:sz w:val="22"/>
              </w:rPr>
              <w:t>324 lines, one file, no obvious owner. Prompts are data under the target architecture, so a tool that makes them may belong to the brain rather than to code.</w:t>
            </w:r>
          </w:p>
        </w:tc>
        <w:tc>
          <w:tcPr>
            <w:tcW w:type="dxa" w:w="2160"/>
          </w:tcPr>
          <w:p>
            <w:r>
              <w:rPr>
                <w:sz w:val="22"/>
              </w:rPr>
            </w:r>
            <w:r>
              <w:rPr>
                <w:rFonts w:ascii="Consolas" w:hAnsi="Consolas"/>
                <w:sz w:val="22"/>
              </w:rPr>
              <w:t>architecture/EngineeringRuleEnforcement/</w:t>
            </w:r>
            <w:r>
              <w:rPr>
                <w:sz w:val="22"/>
              </w:rPr>
              <w:t xml:space="preserve">; a prompts tool beside </w:t>
            </w:r>
            <w:r>
              <w:rPr>
                <w:rFonts w:ascii="Consolas" w:hAnsi="Consolas"/>
                <w:sz w:val="22"/>
              </w:rPr>
              <w:t>prompts.json</w:t>
            </w:r>
            <w:r>
              <w:rPr>
                <w:sz w:val="22"/>
              </w:rPr>
              <w:t>; or delete if superseded</w:t>
            </w:r>
          </w:p>
        </w:tc>
      </w:tr>
    </w:tbl>
    <w:p/>
    <w:p>
      <w:r>
        <w:rPr>
          <w:b/>
        </w:rPr>
        <w:t>One further item is an authorisation rather than a decision.</w:t>
      </w:r>
      <w:r>
        <w:t xml:space="preserve"> </w:t>
      </w:r>
      <w:r>
        <w:rPr>
          <w:rFonts w:ascii="Consolas" w:hAnsi="Consolas"/>
          <w:sz w:val="17"/>
        </w:rPr>
        <w:t>Code/Shared/ops/tools/chathealthy_devops_boot.py</w:t>
      </w:r>
      <w:r>
        <w:t xml:space="preserve"> is named as </w:t>
      </w:r>
      <w:r>
        <w:rPr>
          <w:rFonts w:ascii="Consolas" w:hAnsi="Consolas"/>
          <w:sz w:val="17"/>
        </w:rPr>
        <w:t>executable_path</w:t>
      </w:r>
      <w:r>
        <w:t xml:space="preserve"> in Rule-002. Moving it edits an engineering rule, which is a governance change and needs your explicit go at the moment it fires.</w:t>
      </w:r>
    </w:p>
    <w:p>
      <w:pPr>
        <w:pStyle w:val="Heading2"/>
      </w:pPr>
      <w:r>
        <w:t>3. The phases</w:t>
      </w:r>
    </w:p>
    <w:p>
      <w:r>
        <w:t>Each phase depends on the one before. Nothing here runs in parallel, because every phase moves the number the next one is measured against.</w:t>
      </w:r>
    </w:p>
    <w:p>
      <w:pPr>
        <w:pStyle w:val="Heading3"/>
      </w:pPr>
      <w:r>
        <w:t>Phase 0 — the gates</w:t>
      </w:r>
    </w:p>
    <w:p>
      <w:r>
        <w:t>Three checks, written from behaviour, each demonstrated red against a real violation before it is accepted.</w:t>
      </w:r>
    </w:p>
    <w:p>
      <w:pPr>
        <w:pStyle w:val="ListNumber"/>
      </w:pPr>
      <w:r>
        <w:rPr>
          <w:b/>
        </w:rPr>
        <w:t>No reference to `Code/`.</w:t>
      </w:r>
      <w:r>
        <w:t xml:space="preserve"> Fails on any path under </w:t>
      </w:r>
      <w:r>
        <w:rPr>
          <w:rFonts w:ascii="Consolas" w:hAnsi="Consolas"/>
          <w:sz w:val="17"/>
        </w:rPr>
        <w:t>Code/</w:t>
      </w:r>
      <w:r>
        <w:t xml:space="preserve"> appearing</w:t>
      </w:r>
    </w:p>
    <w:p>
      <w:r>
        <w:t>in a source file, a build script, a test, a config or the deployment record. It is red today by design — it measures the work.</w:t>
      </w:r>
    </w:p>
    <w:p>
      <w:pPr>
        <w:pStyle w:val="ListNumber"/>
      </w:pPr>
      <w:r>
        <w:rPr>
          <w:b/>
        </w:rPr>
        <w:t>Declared equals dispatched.</w:t>
      </w:r>
      <w:r>
        <w:t xml:space="preserve"> Reads the router's dispatch table, the</w:t>
      </w:r>
    </w:p>
    <w:p>
      <w:r>
        <w:t>tool modules on disk, and the declaration; fails in either direction — a tool that runs and is not declared, or is declared and not reachable.</w:t>
      </w:r>
    </w:p>
    <w:p>
      <w:pPr>
        <w:pStyle w:val="ListNumber"/>
      </w:pPr>
      <w:r>
        <w:rPr>
          <w:b/>
        </w:rPr>
        <w:t>A capability is complete.</w:t>
      </w:r>
      <w:r>
        <w:t xml:space="preserve"> Fails where a capability lacks one of its</w:t>
      </w:r>
    </w:p>
    <w:p>
      <w:r>
        <w:t>four tools, or where a tool is declared without a server and an endpoint.</w:t>
      </w:r>
    </w:p>
    <w:p>
      <w:r>
        <w:rPr>
          <w:i/>
        </w:rPr>
        <w:t>Proof:</w:t>
      </w:r>
      <w:r>
        <w:t xml:space="preserve"> each of the three goes red against a violation that exists today, and the numbers are recorded as the baseline. No code has moved.</w:t>
      </w:r>
    </w:p>
    <w:p>
      <w:r>
        <w:rPr>
          <w:i/>
        </w:rPr>
        <w:t>Note on the baseline:</w:t>
      </w:r>
      <w:r>
        <w:t xml:space="preserve"> two careful readings of the same code produced different counts of conforming tools, because they disagreed about what conformance means at the edges. This plan therefore asserts no figure. Whatever the gate says on its first run is the baseline.</w:t>
      </w:r>
    </w:p>
    <w:p>
      <w:pPr>
        <w:pStyle w:val="Heading3"/>
      </w:pPr>
      <w:r>
        <w:t>Phase 1 — the contract</w:t>
      </w:r>
    </w:p>
    <w:p>
      <w:r>
        <w:t>One base contract in the library: what a capability's search takes (the utterance and the prior dialogue, and nothing else), what it returns, how it fails, and where it is served — read from the declaration rather than written into the caller.</w:t>
      </w:r>
    </w:p>
    <w:p>
      <w:r>
        <w:t>This is first among the changes because splitting fourteen routes without it produces five modules that disagree in the same ways the fourteen routes disagree now.</w:t>
      </w:r>
    </w:p>
    <w:p>
      <w:r>
        <w:rPr>
          <w:i/>
        </w:rPr>
        <w:t>Proof:</w:t>
      </w:r>
      <w:r>
        <w:t xml:space="preserve"> the contract exists, gate 2 can test conformance against it, and no number moves.</w:t>
      </w:r>
    </w:p>
    <w:p>
      <w:pPr>
        <w:pStyle w:val="Heading3"/>
      </w:pPr>
      <w:r>
        <w:t>Phase 2 — the low-risk half of `Code/`</w:t>
      </w:r>
    </w:p>
    <w:p>
      <w:r>
        <w:t>Thirty-one files, no runtime behaviour change, done in one pass per group.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group</w:t>
            </w:r>
          </w:p>
        </w:tc>
        <w:tc>
          <w:tcPr>
            <w:tcW w:type="dxa" w:w="2880"/>
          </w:tcPr>
          <w:p>
            <w:r>
              <w:rPr>
                <w:b/>
                <w:sz w:val="22"/>
              </w:rPr>
            </w:r>
            <w:r>
              <w:rPr>
                <w:b/>
                <w:sz w:val="22"/>
              </w:rPr>
              <w:t>n</w:t>
            </w:r>
          </w:p>
        </w:tc>
        <w:tc>
          <w:tcPr>
            <w:tcW w:type="dxa" w:w="2880"/>
          </w:tcPr>
          <w:p>
            <w:r>
              <w:rPr>
                <w:b/>
                <w:sz w:val="22"/>
              </w:rPr>
            </w:r>
            <w:r>
              <w:rPr>
                <w:b/>
                <w:sz w:val="22"/>
              </w:rPr>
              <w:t>action</w:t>
            </w:r>
          </w:p>
        </w:tc>
      </w:tr>
      <w:tr>
        <w:tc>
          <w:tcPr>
            <w:tcW w:type="dxa" w:w="2880"/>
          </w:tcPr>
          <w:p>
            <w:r>
              <w:rPr>
                <w:sz w:val="22"/>
              </w:rPr>
            </w:r>
            <w:r>
              <w:rPr>
                <w:rFonts w:ascii="Consolas" w:hAnsi="Consolas"/>
                <w:sz w:val="22"/>
              </w:rPr>
              <w:t>llm_client.py</w:t>
            </w:r>
          </w:p>
        </w:tc>
        <w:tc>
          <w:tcPr>
            <w:tcW w:type="dxa" w:w="2880"/>
          </w:tcPr>
          <w:p>
            <w:r>
              <w:rPr>
                <w:sz w:val="22"/>
              </w:rPr>
            </w:r>
            <w:r>
              <w:rPr>
                <w:sz w:val="22"/>
              </w:rPr>
              <w:t>1</w:t>
            </w:r>
          </w:p>
        </w:tc>
        <w:tc>
          <w:tcPr>
            <w:tcW w:type="dxa" w:w="2880"/>
          </w:tcPr>
          <w:p>
            <w:r>
              <w:rPr>
                <w:sz w:val="22"/>
              </w:rPr>
            </w:r>
            <w:r>
              <w:rPr>
                <w:sz w:val="22"/>
              </w:rPr>
              <w:t>delete — no importer anywhere in the repository</w:t>
            </w:r>
          </w:p>
        </w:tc>
      </w:tr>
      <w:tr>
        <w:tc>
          <w:tcPr>
            <w:tcW w:type="dxa" w:w="2880"/>
          </w:tcPr>
          <w:p>
            <w:r>
              <w:rPr>
                <w:sz w:val="22"/>
              </w:rPr>
            </w:r>
            <w:r>
              <w:rPr>
                <w:rFonts w:ascii="Consolas" w:hAnsi="Consolas"/>
                <w:sz w:val="22"/>
              </w:rPr>
              <w:t>promote_data.py</w:t>
            </w:r>
          </w:p>
        </w:tc>
        <w:tc>
          <w:tcPr>
            <w:tcW w:type="dxa" w:w="2880"/>
          </w:tcPr>
          <w:p>
            <w:r>
              <w:rPr>
                <w:sz w:val="22"/>
              </w:rPr>
            </w:r>
            <w:r>
              <w:rPr>
                <w:sz w:val="22"/>
              </w:rPr>
              <w:t>1</w:t>
            </w:r>
          </w:p>
        </w:tc>
        <w:tc>
          <w:tcPr>
            <w:tcW w:type="dxa" w:w="2880"/>
          </w:tcPr>
          <w:p>
            <w:r>
              <w:rPr>
                <w:sz w:val="22"/>
              </w:rPr>
            </w:r>
            <w:r>
              <w:rPr>
                <w:sz w:val="22"/>
              </w:rPr>
              <w:t>delete — an undeclared writer holding drop-and-refill on the served database</w:t>
            </w:r>
          </w:p>
        </w:tc>
      </w:tr>
      <w:tr>
        <w:tc>
          <w:tcPr>
            <w:tcW w:type="dxa" w:w="2880"/>
          </w:tcPr>
          <w:p>
            <w:r>
              <w:rPr>
                <w:sz w:val="22"/>
              </w:rPr>
            </w:r>
            <w:r>
              <w:rPr>
                <w:sz w:val="22"/>
              </w:rPr>
              <w:t>about content</w:t>
            </w:r>
          </w:p>
        </w:tc>
        <w:tc>
          <w:tcPr>
            <w:tcW w:type="dxa" w:w="2880"/>
          </w:tcPr>
          <w:p>
            <w:r>
              <w:rPr>
                <w:sz w:val="22"/>
              </w:rPr>
            </w:r>
            <w:r>
              <w:rPr>
                <w:sz w:val="22"/>
              </w:rPr>
              <w:t>5</w:t>
            </w:r>
          </w:p>
        </w:tc>
        <w:tc>
          <w:tcPr>
            <w:tcW w:type="dxa" w:w="2880"/>
          </w:tcPr>
          <w:p>
            <w:r>
              <w:rPr>
                <w:sz w:val="22"/>
              </w:rPr>
            </w:r>
            <w:r>
              <w:rPr>
                <w:sz w:val="22"/>
              </w:rPr>
              <w:t xml:space="preserve">move to </w:t>
            </w:r>
            <w:r>
              <w:rPr>
                <w:rFonts w:ascii="Consolas" w:hAnsi="Consolas"/>
                <w:sz w:val="22"/>
              </w:rPr>
              <w:t>sharedServices/Code/AboutChatHealthy/</w:t>
            </w:r>
          </w:p>
        </w:tc>
      </w:tr>
      <w:tr>
        <w:tc>
          <w:tcPr>
            <w:tcW w:type="dxa" w:w="2880"/>
          </w:tcPr>
          <w:p>
            <w:r>
              <w:rPr>
                <w:sz w:val="22"/>
              </w:rPr>
            </w:r>
            <w:r>
              <w:rPr>
                <w:rFonts w:ascii="Consolas" w:hAnsi="Consolas"/>
                <w:sz w:val="22"/>
              </w:rPr>
              <w:t>Shared/ops/*</w:t>
            </w:r>
            <w:r>
              <w:rPr>
                <w:sz w:val="22"/>
              </w:rPr>
              <w:t xml:space="preserve"> tooling, Caddyfile, uat_report</w:t>
            </w:r>
          </w:p>
        </w:tc>
        <w:tc>
          <w:tcPr>
            <w:tcW w:type="dxa" w:w="2880"/>
          </w:tcPr>
          <w:p>
            <w:r>
              <w:rPr>
                <w:sz w:val="22"/>
              </w:rPr>
            </w:r>
            <w:r>
              <w:rPr>
                <w:sz w:val="22"/>
              </w:rPr>
              <w:t>9</w:t>
            </w:r>
          </w:p>
        </w:tc>
        <w:tc>
          <w:tcPr>
            <w:tcW w:type="dxa" w:w="2880"/>
          </w:tcPr>
          <w:p>
            <w:r>
              <w:rPr>
                <w:sz w:val="22"/>
              </w:rPr>
            </w:r>
            <w:r>
              <w:rPr>
                <w:sz w:val="22"/>
              </w:rPr>
              <w:t xml:space="preserve">move to </w:t>
            </w:r>
            <w:r>
              <w:rPr>
                <w:rFonts w:ascii="Consolas" w:hAnsi="Consolas"/>
                <w:sz w:val="22"/>
              </w:rPr>
              <w:t>architecture/DevOpsBuildDeployAndEnvironmentManagement/</w:t>
            </w:r>
          </w:p>
        </w:tc>
      </w:tr>
      <w:tr>
        <w:tc>
          <w:tcPr>
            <w:tcW w:type="dxa" w:w="2880"/>
          </w:tcPr>
          <w:p>
            <w:r>
              <w:rPr>
                <w:sz w:val="22"/>
              </w:rPr>
            </w:r>
            <w:r>
              <w:rPr>
                <w:rFonts w:ascii="Consolas" w:hAnsi="Consolas"/>
                <w:sz w:val="22"/>
              </w:rPr>
              <w:t>Shared/ops/tools/*</w:t>
            </w:r>
          </w:p>
        </w:tc>
        <w:tc>
          <w:tcPr>
            <w:tcW w:type="dxa" w:w="2880"/>
          </w:tcPr>
          <w:p>
            <w:r>
              <w:rPr>
                <w:sz w:val="22"/>
              </w:rPr>
            </w:r>
            <w:r>
              <w:rPr>
                <w:sz w:val="22"/>
              </w:rPr>
              <w:t>6</w:t>
            </w:r>
          </w:p>
        </w:tc>
        <w:tc>
          <w:tcPr>
            <w:tcW w:type="dxa" w:w="2880"/>
          </w:tcPr>
          <w:p>
            <w:r>
              <w:rPr>
                <w:sz w:val="22"/>
              </w:rPr>
            </w:r>
            <w:r>
              <w:rPr>
                <w:sz w:val="22"/>
              </w:rPr>
              <w:t xml:space="preserve">move to </w:t>
            </w:r>
            <w:r>
              <w:rPr>
                <w:rFonts w:ascii="Consolas" w:hAnsi="Consolas"/>
                <w:sz w:val="22"/>
              </w:rPr>
              <w:t>architecture/EngineeringRuleEnforcement/</w:t>
            </w:r>
            <w:r>
              <w:rPr>
                <w:sz w:val="22"/>
              </w:rPr>
              <w:t xml:space="preserve"> — includes the Rule-002 authorisation</w:t>
            </w:r>
          </w:p>
        </w:tc>
      </w:tr>
      <w:tr>
        <w:tc>
          <w:tcPr>
            <w:tcW w:type="dxa" w:w="2880"/>
          </w:tcPr>
          <w:p>
            <w:r>
              <w:rPr>
                <w:sz w:val="22"/>
              </w:rPr>
            </w:r>
            <w:r>
              <w:rPr>
                <w:sz w:val="22"/>
              </w:rPr>
              <w:t>certs</w:t>
            </w:r>
          </w:p>
        </w:tc>
        <w:tc>
          <w:tcPr>
            <w:tcW w:type="dxa" w:w="2880"/>
          </w:tcPr>
          <w:p>
            <w:r>
              <w:rPr>
                <w:sz w:val="22"/>
              </w:rPr>
            </w:r>
            <w:r>
              <w:rPr>
                <w:sz w:val="22"/>
              </w:rPr>
              <w:t>6</w:t>
            </w:r>
          </w:p>
        </w:tc>
        <w:tc>
          <w:tcPr>
            <w:tcW w:type="dxa" w:w="2880"/>
          </w:tcPr>
          <w:p>
            <w:r>
              <w:rPr>
                <w:sz w:val="22"/>
              </w:rPr>
            </w:r>
            <w:r>
              <w:rPr>
                <w:sz w:val="22"/>
              </w:rPr>
              <w:t xml:space="preserve">per </w:t>
            </w:r>
            <w:r>
              <w:rPr>
                <w:b/>
                <w:sz w:val="22"/>
              </w:rPr>
              <w:t>D3</w:t>
            </w:r>
          </w:p>
        </w:tc>
      </w:tr>
      <w:tr>
        <w:tc>
          <w:tcPr>
            <w:tcW w:type="dxa" w:w="2880"/>
          </w:tcPr>
          <w:p>
            <w:r>
              <w:rPr>
                <w:sz w:val="22"/>
              </w:rPr>
            </w:r>
            <w:r>
              <w:rPr>
                <w:rFonts w:ascii="Consolas" w:hAnsi="Consolas"/>
                <w:sz w:val="22"/>
              </w:rPr>
              <w:t>prompt_system_maker.py</w:t>
            </w:r>
          </w:p>
        </w:tc>
        <w:tc>
          <w:tcPr>
            <w:tcW w:type="dxa" w:w="2880"/>
          </w:tcPr>
          <w:p>
            <w:r>
              <w:rPr>
                <w:sz w:val="22"/>
              </w:rPr>
            </w:r>
            <w:r>
              <w:rPr>
                <w:sz w:val="22"/>
              </w:rPr>
              <w:t>1</w:t>
            </w:r>
          </w:p>
        </w:tc>
        <w:tc>
          <w:tcPr>
            <w:tcW w:type="dxa" w:w="2880"/>
          </w:tcPr>
          <w:p>
            <w:r>
              <w:rPr>
                <w:sz w:val="22"/>
              </w:rPr>
            </w:r>
            <w:r>
              <w:rPr>
                <w:sz w:val="22"/>
              </w:rPr>
              <w:t xml:space="preserve">per </w:t>
            </w:r>
            <w:r>
              <w:rPr>
                <w:b/>
                <w:sz w:val="22"/>
              </w:rPr>
              <w:t>D4</w:t>
            </w:r>
          </w:p>
        </w:tc>
      </w:tr>
      <w:tr>
        <w:tc>
          <w:tcPr>
            <w:tcW w:type="dxa" w:w="2880"/>
          </w:tcPr>
          <w:p>
            <w:r>
              <w:rPr>
                <w:sz w:val="22"/>
              </w:rPr>
            </w:r>
            <w:r>
              <w:rPr>
                <w:rFonts w:ascii="Consolas" w:hAnsi="Consolas"/>
                <w:sz w:val="22"/>
              </w:rPr>
              <w:t>skip_pipelineTest.http</w:t>
            </w:r>
          </w:p>
        </w:tc>
        <w:tc>
          <w:tcPr>
            <w:tcW w:type="dxa" w:w="2880"/>
          </w:tcPr>
          <w:p>
            <w:r>
              <w:rPr>
                <w:sz w:val="22"/>
              </w:rPr>
            </w:r>
            <w:r>
              <w:rPr>
                <w:sz w:val="22"/>
              </w:rPr>
              <w:t>1</w:t>
            </w:r>
          </w:p>
        </w:tc>
        <w:tc>
          <w:tcPr>
            <w:tcW w:type="dxa" w:w="2880"/>
          </w:tcPr>
          <w:p>
            <w:r>
              <w:rPr>
                <w:sz w:val="22"/>
              </w:rPr>
            </w:r>
            <w:r>
              <w:rPr>
                <w:sz w:val="22"/>
              </w:rPr>
              <w:t>delete — a scratch HTTP file</w:t>
            </w:r>
          </w:p>
        </w:tc>
      </w:tr>
      <w:tr>
        <w:tc>
          <w:tcPr>
            <w:tcW w:type="dxa" w:w="2880"/>
          </w:tcPr>
          <w:p>
            <w:r>
              <w:rPr>
                <w:sz w:val="22"/>
              </w:rPr>
            </w:r>
            <w:r>
              <w:rPr>
                <w:rFonts w:ascii="Consolas" w:hAnsi="Consolas"/>
                <w:sz w:val="22"/>
              </w:rPr>
              <w:t>backend/README.md</w:t>
            </w:r>
          </w:p>
        </w:tc>
        <w:tc>
          <w:tcPr>
            <w:tcW w:type="dxa" w:w="2880"/>
          </w:tcPr>
          <w:p>
            <w:r>
              <w:rPr>
                <w:sz w:val="22"/>
              </w:rPr>
            </w:r>
            <w:r>
              <w:rPr>
                <w:sz w:val="22"/>
              </w:rPr>
              <w:t>1</w:t>
            </w:r>
          </w:p>
        </w:tc>
        <w:tc>
          <w:tcPr>
            <w:tcW w:type="dxa" w:w="2880"/>
          </w:tcPr>
          <w:p>
            <w:r>
              <w:rPr>
                <w:sz w:val="22"/>
              </w:rPr>
            </w:r>
            <w:r>
              <w:rPr>
                <w:sz w:val="22"/>
              </w:rPr>
              <w:t>delete — it documents the directory being removed</w:t>
            </w:r>
          </w:p>
        </w:tc>
      </w:tr>
    </w:tbl>
    <w:p/>
    <w:p>
      <w:r>
        <w:rPr>
          <w:i/>
        </w:rPr>
        <w:t>Proof:</w:t>
      </w:r>
      <w:r>
        <w:t xml:space="preserve"> build passes, deploy verifies, gate 1's reference count falls by the number moved, and the front end is untouched because none of these files is on a runtime path.</w:t>
      </w:r>
    </w:p>
    <w:p>
      <w:pPr>
        <w:pStyle w:val="Heading3"/>
      </w:pPr>
      <w:r>
        <w:t>Phase 3 — split `app.py` by capability</w:t>
      </w:r>
    </w:p>
    <w:p>
      <w:r>
        <w:t>One file, 2,000 lines, fourteen routes, every FindCare capability's server side in it. This is why two neighbours in one file implement the same idea two ways.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routes</w:t>
            </w:r>
          </w:p>
        </w:tc>
        <w:tc>
          <w:tcPr>
            <w:tcW w:type="dxa" w:w="4320"/>
          </w:tcPr>
          <w:p>
            <w:r>
              <w:rPr>
                <w:b/>
                <w:sz w:val="22"/>
              </w:rPr>
            </w:r>
            <w:r>
              <w:rPr>
                <w:b/>
                <w:sz w:val="22"/>
              </w:rPr>
              <w:t>destination</w:t>
            </w:r>
          </w:p>
        </w:tc>
      </w:tr>
      <w:tr>
        <w:tc>
          <w:tcPr>
            <w:tcW w:type="dxa" w:w="4320"/>
          </w:tcPr>
          <w:p>
            <w:r>
              <w:rPr>
                <w:sz w:val="22"/>
              </w:rPr>
            </w:r>
            <w:r>
              <w:rPr>
                <w:rFonts w:ascii="Consolas" w:hAnsi="Consolas"/>
                <w:sz w:val="22"/>
              </w:rPr>
              <w:t>/provider/find</w:t>
            </w:r>
            <w:r>
              <w:rPr>
                <w:sz w:val="22"/>
              </w:rPr>
              <w:t xml:space="preserve">, </w:t>
            </w:r>
            <w:r>
              <w:rPr>
                <w:rFonts w:ascii="Consolas" w:hAnsi="Consolas"/>
                <w:sz w:val="22"/>
              </w:rPr>
              <w:t>/search</w:t>
            </w:r>
            <w:r>
              <w:rPr>
                <w:sz w:val="22"/>
              </w:rPr>
              <w:t xml:space="preserve">, </w:t>
            </w:r>
            <w:r>
              <w:rPr>
                <w:rFonts w:ascii="Consolas" w:hAnsi="Consolas"/>
                <w:sz w:val="22"/>
              </w:rPr>
              <w:t>/provider/exclusions</w:t>
            </w:r>
          </w:p>
        </w:tc>
        <w:tc>
          <w:tcPr>
            <w:tcW w:type="dxa" w:w="4320"/>
          </w:tcPr>
          <w:p>
            <w:r>
              <w:rPr>
                <w:sz w:val="22"/>
              </w:rPr>
            </w:r>
            <w:r>
              <w:rPr>
                <w:rFonts w:ascii="Consolas" w:hAnsi="Consolas"/>
                <w:sz w:val="22"/>
              </w:rPr>
              <w:t>FindCare/ProviderManagement/</w:t>
            </w:r>
          </w:p>
        </w:tc>
      </w:tr>
      <w:tr>
        <w:tc>
          <w:tcPr>
            <w:tcW w:type="dxa" w:w="4320"/>
          </w:tcPr>
          <w:p>
            <w:r>
              <w:rPr>
                <w:sz w:val="22"/>
              </w:rPr>
            </w:r>
            <w:r>
              <w:rPr>
                <w:rFonts w:ascii="Consolas" w:hAnsi="Consolas"/>
                <w:sz w:val="22"/>
              </w:rPr>
              <w:t>/provider-detail</w:t>
            </w:r>
            <w:r>
              <w:rPr>
                <w:sz w:val="22"/>
              </w:rPr>
              <w:t xml:space="preserve">, </w:t>
            </w:r>
            <w:r>
              <w:rPr>
                <w:rFonts w:ascii="Consolas" w:hAnsi="Consolas"/>
                <w:sz w:val="22"/>
              </w:rPr>
              <w:t>/page/detail-open</w:t>
            </w:r>
            <w:r>
              <w:rPr>
                <w:sz w:val="22"/>
              </w:rPr>
              <w:t xml:space="preserve">, </w:t>
            </w:r>
            <w:r>
              <w:rPr>
                <w:rFonts w:ascii="Consolas" w:hAnsi="Consolas"/>
                <w:sz w:val="22"/>
              </w:rPr>
              <w:t>/page/detail-close</w:t>
            </w:r>
          </w:p>
        </w:tc>
        <w:tc>
          <w:tcPr>
            <w:tcW w:type="dxa" w:w="4320"/>
          </w:tcPr>
          <w:p>
            <w:r>
              <w:rPr>
                <w:sz w:val="22"/>
              </w:rPr>
            </w:r>
            <w:r>
              <w:rPr>
                <w:rFonts w:ascii="Consolas" w:hAnsi="Consolas"/>
                <w:sz w:val="22"/>
              </w:rPr>
              <w:t>FindCare/ProviderDetail/</w:t>
            </w:r>
          </w:p>
        </w:tc>
      </w:tr>
      <w:tr>
        <w:tc>
          <w:tcPr>
            <w:tcW w:type="dxa" w:w="4320"/>
          </w:tcPr>
          <w:p>
            <w:r>
              <w:rPr>
                <w:sz w:val="22"/>
              </w:rPr>
            </w:r>
            <w:r>
              <w:rPr>
                <w:rFonts w:ascii="Consolas" w:hAnsi="Consolas"/>
                <w:sz w:val="22"/>
              </w:rPr>
              <w:t>/facility/find</w:t>
            </w:r>
            <w:r>
              <w:rPr>
                <w:sz w:val="22"/>
              </w:rPr>
              <w:t xml:space="preserve">, </w:t>
            </w:r>
            <w:r>
              <w:rPr>
                <w:rFonts w:ascii="Consolas" w:hAnsi="Consolas"/>
                <w:sz w:val="22"/>
              </w:rPr>
              <w:t>/facility/page</w:t>
            </w:r>
          </w:p>
        </w:tc>
        <w:tc>
          <w:tcPr>
            <w:tcW w:type="dxa" w:w="4320"/>
          </w:tcPr>
          <w:p>
            <w:r>
              <w:rPr>
                <w:sz w:val="22"/>
              </w:rPr>
            </w:r>
            <w:r>
              <w:rPr>
                <w:rFonts w:ascii="Consolas" w:hAnsi="Consolas"/>
                <w:sz w:val="22"/>
              </w:rPr>
              <w:t>FindCare/FacilitySearch/</w:t>
            </w:r>
            <w:r>
              <w:rPr>
                <w:sz w:val="22"/>
              </w:rPr>
              <w:t xml:space="preserve"> (new)</w:t>
            </w:r>
          </w:p>
        </w:tc>
      </w:tr>
      <w:tr>
        <w:tc>
          <w:tcPr>
            <w:tcW w:type="dxa" w:w="4320"/>
          </w:tcPr>
          <w:p>
            <w:r>
              <w:rPr>
                <w:sz w:val="22"/>
              </w:rPr>
            </w:r>
            <w:r>
              <w:rPr>
                <w:rFonts w:ascii="Consolas" w:hAnsi="Consolas"/>
                <w:sz w:val="22"/>
              </w:rPr>
              <w:t>/specialty/find</w:t>
            </w:r>
            <w:r>
              <w:rPr>
                <w:sz w:val="22"/>
              </w:rPr>
              <w:t xml:space="preserve">, </w:t>
            </w:r>
            <w:r>
              <w:rPr>
                <w:rFonts w:ascii="Consolas" w:hAnsi="Consolas"/>
                <w:sz w:val="22"/>
              </w:rPr>
              <w:t>/nucc/classify</w:t>
            </w:r>
          </w:p>
        </w:tc>
        <w:tc>
          <w:tcPr>
            <w:tcW w:type="dxa" w:w="4320"/>
          </w:tcPr>
          <w:p>
            <w:r>
              <w:rPr>
                <w:sz w:val="22"/>
              </w:rPr>
            </w:r>
            <w:r>
              <w:rPr>
                <w:rFonts w:ascii="Consolas" w:hAnsi="Consolas"/>
                <w:sz w:val="22"/>
              </w:rPr>
              <w:t>FindCare/SpecialtyFilter/</w:t>
            </w:r>
          </w:p>
        </w:tc>
      </w:tr>
      <w:tr>
        <w:tc>
          <w:tcPr>
            <w:tcW w:type="dxa" w:w="4320"/>
          </w:tcPr>
          <w:p>
            <w:r>
              <w:rPr>
                <w:sz w:val="22"/>
              </w:rPr>
            </w:r>
            <w:r>
              <w:rPr>
                <w:rFonts w:ascii="Consolas" w:hAnsi="Consolas"/>
                <w:sz w:val="22"/>
              </w:rPr>
              <w:t>/trial/find</w:t>
            </w:r>
          </w:p>
        </w:tc>
        <w:tc>
          <w:tcPr>
            <w:tcW w:type="dxa" w:w="4320"/>
          </w:tcPr>
          <w:p>
            <w:r>
              <w:rPr>
                <w:sz w:val="22"/>
              </w:rPr>
            </w:r>
            <w:r>
              <w:rPr>
                <w:rFonts w:ascii="Consolas" w:hAnsi="Consolas"/>
                <w:sz w:val="22"/>
              </w:rPr>
              <w:t>FindCare/ClinicalTrials/</w:t>
            </w:r>
          </w:p>
        </w:tc>
      </w:tr>
      <w:tr>
        <w:tc>
          <w:tcPr>
            <w:tcW w:type="dxa" w:w="4320"/>
          </w:tcPr>
          <w:p>
            <w:r>
              <w:rPr>
                <w:sz w:val="22"/>
              </w:rPr>
            </w:r>
            <w:r>
              <w:rPr>
                <w:rFonts w:ascii="Consolas" w:hAnsi="Consolas"/>
                <w:sz w:val="22"/>
              </w:rPr>
              <w:t>/health</w:t>
            </w:r>
            <w:r>
              <w:rPr>
                <w:sz w:val="22"/>
              </w:rPr>
              <w:t xml:space="preserve">, </w:t>
            </w:r>
            <w:r>
              <w:rPr>
                <w:rFonts w:ascii="Consolas" w:hAnsi="Consolas"/>
                <w:sz w:val="22"/>
              </w:rPr>
              <w:t>/welcome</w:t>
            </w:r>
            <w:r>
              <w:rPr>
                <w:sz w:val="22"/>
              </w:rPr>
              <w:t xml:space="preserve">, </w:t>
            </w:r>
            <w:r>
              <w:rPr>
                <w:rFonts w:ascii="Consolas" w:hAnsi="Consolas"/>
                <w:sz w:val="22"/>
              </w:rPr>
              <w:t>/page/what-is-needed</w:t>
            </w:r>
          </w:p>
        </w:tc>
        <w:tc>
          <w:tcPr>
            <w:tcW w:type="dxa" w:w="4320"/>
          </w:tcPr>
          <w:p>
            <w:r>
              <w:rPr>
                <w:sz w:val="22"/>
              </w:rPr>
            </w:r>
            <w:r>
              <w:rPr>
                <w:sz w:val="22"/>
              </w:rPr>
              <w:t>the service runtime</w:t>
            </w:r>
          </w:p>
        </w:tc>
      </w:tr>
    </w:tbl>
    <w:p/>
    <w:p>
      <w:r>
        <w:t xml:space="preserve">Plus the fourteen domain, application and infrastructure files that move with them, and the </w:t>
      </w:r>
      <w:r>
        <w:rPr>
          <w:rFonts w:ascii="Consolas" w:hAnsi="Consolas"/>
          <w:sz w:val="17"/>
        </w:rPr>
        <w:t>__init__.py</w:t>
      </w:r>
      <w:r>
        <w:t xml:space="preserve"> files that die with their packages.</w:t>
      </w:r>
    </w:p>
    <w:p>
      <w:r>
        <w:rPr>
          <w:b/>
        </w:rPr>
        <w:t>Order within the phase: the detail routes first</w:t>
      </w:r>
      <w:r>
        <w:t xml:space="preserve"> — smallest, best covered by tests — to prove the pattern before the search routes move. Each capability conforms to Phase 1's contract as it moves.</w:t>
      </w:r>
    </w:p>
    <w:p>
      <w:r>
        <w:rPr>
          <w:i/>
        </w:rPr>
        <w:t>Proof:</w:t>
      </w:r>
      <w:r>
        <w:t xml:space="preserve"> per capability — build passes, deploy verifies, the Playwright suites hold at their known counts (desktop 109/1, phone 104/6), and no gate number falls.</w:t>
      </w:r>
    </w:p>
    <w:p>
      <w:pPr>
        <w:pStyle w:val="Heading3"/>
      </w:pPr>
      <w:r>
        <w:t>Phase 4 — the router stops doing the work</w:t>
      </w:r>
    </w:p>
    <w:p>
      <w:r>
        <w:t>Three search actions dispatch the tool named for them; the inline blocks go, including the one that builds its own HTTP client. Safe only now, because the far side is a per-capability module rather than a shared file.</w:t>
      </w:r>
    </w:p>
    <w:p>
      <w:r>
        <w:t xml:space="preserve">Then the residue Phase 3 does not touch: </w:t>
      </w:r>
      <w:r>
        <w:rPr>
          <w:rFonts w:ascii="Consolas" w:hAnsi="Consolas"/>
          <w:sz w:val="17"/>
        </w:rPr>
        <w:t>_ACTION_PAGES</w:t>
      </w:r>
      <w:r>
        <w:t xml:space="preserve">, the capability entries in </w:t>
      </w:r>
      <w:r>
        <w:rPr>
          <w:rFonts w:ascii="Consolas" w:hAnsi="Consolas"/>
          <w:sz w:val="17"/>
        </w:rPr>
        <w:t>_OP_HANDLERS</w:t>
      </w:r>
      <w:r>
        <w:t xml:space="preserve">, </w:t>
      </w:r>
      <w:r>
        <w:rPr>
          <w:rFonts w:ascii="Consolas" w:hAnsi="Consolas"/>
          <w:sz w:val="17"/>
        </w:rPr>
        <w:t>_TURN_OPS</w:t>
      </w:r>
      <w:r>
        <w:t>, and the page-and-tool map are per-capability tables living in the router. They derive from the declaration or the claim that a new capability needs no router change stays false.</w:t>
      </w:r>
    </w:p>
    <w:p>
      <w:r>
        <w:rPr>
          <w:i/>
        </w:rPr>
        <w:t>Proof:</w:t>
      </w:r>
      <w:r>
        <w:t xml:space="preserve"> the router holds no HTTP client and no stream shaping for a search; gate 2 goes green; adding a capability is demonstrated as a declaration plus its own files, with no router edit.</w:t>
      </w:r>
    </w:p>
    <w:p>
      <w:pPr>
        <w:pStyle w:val="Heading3"/>
      </w:pPr>
      <w:r>
        <w:t>Phase 5 — the front end, and the rest of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group</w:t>
            </w:r>
          </w:p>
        </w:tc>
        <w:tc>
          <w:tcPr>
            <w:tcW w:type="dxa" w:w="2880"/>
          </w:tcPr>
          <w:p>
            <w:r>
              <w:rPr>
                <w:b/>
                <w:sz w:val="22"/>
              </w:rPr>
            </w:r>
            <w:r>
              <w:rPr>
                <w:b/>
                <w:sz w:val="22"/>
              </w:rPr>
              <w:t>n</w:t>
            </w:r>
          </w:p>
        </w:tc>
        <w:tc>
          <w:tcPr>
            <w:tcW w:type="dxa" w:w="2880"/>
          </w:tcPr>
          <w:p>
            <w:r>
              <w:rPr>
                <w:b/>
                <w:sz w:val="22"/>
              </w:rPr>
            </w:r>
            <w:r>
              <w:rPr>
                <w:b/>
                <w:sz w:val="22"/>
              </w:rPr>
              <w:t>action</w:t>
            </w:r>
          </w:p>
        </w:tc>
      </w:tr>
      <w:tr>
        <w:tc>
          <w:tcPr>
            <w:tcW w:type="dxa" w:w="2880"/>
          </w:tcPr>
          <w:p>
            <w:r>
              <w:rPr>
                <w:sz w:val="22"/>
              </w:rPr>
            </w:r>
            <w:r>
              <w:rPr>
                <w:sz w:val="22"/>
              </w:rPr>
              <w:t>5 widgets</w:t>
            </w:r>
          </w:p>
        </w:tc>
        <w:tc>
          <w:tcPr>
            <w:tcW w:type="dxa" w:w="2880"/>
          </w:tcPr>
          <w:p>
            <w:r>
              <w:rPr>
                <w:sz w:val="22"/>
              </w:rPr>
            </w:r>
            <w:r>
              <w:rPr>
                <w:sz w:val="22"/>
              </w:rPr>
              <w:t>5</w:t>
            </w:r>
          </w:p>
        </w:tc>
        <w:tc>
          <w:tcPr>
            <w:tcW w:type="dxa" w:w="2880"/>
          </w:tcPr>
          <w:p>
            <w:r>
              <w:rPr>
                <w:sz w:val="22"/>
              </w:rPr>
            </w:r>
            <w:r>
              <w:rPr>
                <w:sz w:val="22"/>
              </w:rPr>
              <w:t xml:space="preserve">trials → </w:t>
            </w:r>
            <w:r>
              <w:rPr>
                <w:rFonts w:ascii="Consolas" w:hAnsi="Consolas"/>
                <w:sz w:val="22"/>
              </w:rPr>
              <w:t>FindCare/ClinicalTrials</w:t>
            </w:r>
            <w:r>
              <w:rPr>
                <w:sz w:val="22"/>
              </w:rPr>
              <w:t xml:space="preserve">; header and legal panel → </w:t>
            </w:r>
            <w:r>
              <w:rPr>
                <w:rFonts w:ascii="Consolas" w:hAnsi="Consolas"/>
                <w:sz w:val="22"/>
              </w:rPr>
              <w:t>displayChrome</w:t>
            </w:r>
            <w:r>
              <w:rPr>
                <w:sz w:val="22"/>
              </w:rPr>
              <w:t xml:space="preserve">; refinement → </w:t>
            </w:r>
            <w:r>
              <w:rPr>
                <w:rFonts w:ascii="Consolas" w:hAnsi="Consolas"/>
                <w:sz w:val="22"/>
              </w:rPr>
              <w:t>ProviderManagement</w:t>
            </w:r>
            <w:r>
              <w:rPr>
                <w:sz w:val="22"/>
              </w:rPr>
              <w:t xml:space="preserve">; selected providers → </w:t>
            </w:r>
            <w:r>
              <w:rPr>
                <w:rFonts w:ascii="Consolas" w:hAnsi="Consolas"/>
                <w:sz w:val="22"/>
              </w:rPr>
              <w:t>ProviderSelection</w:t>
            </w:r>
          </w:p>
        </w:tc>
      </w:tr>
      <w:tr>
        <w:tc>
          <w:tcPr>
            <w:tcW w:type="dxa" w:w="2880"/>
          </w:tcPr>
          <w:p>
            <w:r>
              <w:rPr>
                <w:sz w:val="22"/>
              </w:rPr>
            </w:r>
            <w:r>
              <w:rPr>
                <w:sz w:val="22"/>
              </w:rPr>
              <w:t>app shell</w:t>
            </w:r>
          </w:p>
        </w:tc>
        <w:tc>
          <w:tcPr>
            <w:tcW w:type="dxa" w:w="2880"/>
          </w:tcPr>
          <w:p>
            <w:r>
              <w:rPr>
                <w:sz w:val="22"/>
              </w:rPr>
            </w:r>
            <w:r>
              <w:rPr>
                <w:sz w:val="22"/>
              </w:rPr>
              <w:t>6</w:t>
            </w:r>
          </w:p>
        </w:tc>
        <w:tc>
          <w:tcPr>
            <w:tcW w:type="dxa" w:w="2880"/>
          </w:tcPr>
          <w:p>
            <w:r>
              <w:rPr>
                <w:sz w:val="22"/>
              </w:rPr>
            </w:r>
            <w:r>
              <w:rPr>
                <w:sz w:val="22"/>
              </w:rPr>
              <w:t xml:space="preserve">per </w:t>
            </w:r>
            <w:r>
              <w:rPr>
                <w:b/>
                <w:sz w:val="22"/>
              </w:rPr>
              <w:t>D2</w:t>
            </w:r>
          </w:p>
        </w:tc>
      </w:tr>
      <w:tr>
        <w:tc>
          <w:tcPr>
            <w:tcW w:type="dxa" w:w="2880"/>
          </w:tcPr>
          <w:p>
            <w:r>
              <w:rPr>
                <w:sz w:val="22"/>
              </w:rPr>
            </w:r>
            <w:r>
              <w:rPr>
                <w:sz w:val="22"/>
              </w:rPr>
              <w:t>backend tests</w:t>
            </w:r>
          </w:p>
        </w:tc>
        <w:tc>
          <w:tcPr>
            <w:tcW w:type="dxa" w:w="2880"/>
          </w:tcPr>
          <w:p>
            <w:r>
              <w:rPr>
                <w:sz w:val="22"/>
              </w:rPr>
            </w:r>
            <w:r>
              <w:rPr>
                <w:sz w:val="22"/>
              </w:rPr>
              <w:t>14</w:t>
            </w:r>
          </w:p>
        </w:tc>
        <w:tc>
          <w:tcPr>
            <w:tcW w:type="dxa" w:w="2880"/>
          </w:tcPr>
          <w:p>
            <w:r>
              <w:rPr>
                <w:sz w:val="22"/>
              </w:rPr>
            </w:r>
            <w:r>
              <w:rPr>
                <w:sz w:val="22"/>
              </w:rPr>
              <w:t xml:space="preserve">per </w:t>
            </w:r>
            <w:r>
              <w:rPr>
                <w:b/>
                <w:sz w:val="22"/>
              </w:rPr>
              <w:t>D1</w:t>
            </w:r>
          </w:p>
        </w:tc>
      </w:tr>
      <w:tr>
        <w:tc>
          <w:tcPr>
            <w:tcW w:type="dxa" w:w="2880"/>
          </w:tcPr>
          <w:p>
            <w:r>
              <w:rPr>
                <w:sz w:val="22"/>
              </w:rPr>
            </w:r>
            <w:r>
              <w:rPr>
                <w:sz w:val="22"/>
              </w:rPr>
              <w:t>iPhone tests</w:t>
            </w:r>
          </w:p>
        </w:tc>
        <w:tc>
          <w:tcPr>
            <w:tcW w:type="dxa" w:w="2880"/>
          </w:tcPr>
          <w:p>
            <w:r>
              <w:rPr>
                <w:sz w:val="22"/>
              </w:rPr>
            </w:r>
            <w:r>
              <w:rPr>
                <w:sz w:val="22"/>
              </w:rPr>
              <w:t>2</w:t>
            </w:r>
          </w:p>
        </w:tc>
        <w:tc>
          <w:tcPr>
            <w:tcW w:type="dxa" w:w="2880"/>
          </w:tcPr>
          <w:p>
            <w:r>
              <w:rPr>
                <w:sz w:val="22"/>
              </w:rPr>
            </w:r>
            <w:r>
              <w:rPr>
                <w:sz w:val="22"/>
              </w:rPr>
              <w:t xml:space="preserve">per </w:t>
            </w:r>
            <w:r>
              <w:rPr>
                <w:b/>
                <w:sz w:val="22"/>
              </w:rPr>
              <w:t>D1</w:t>
            </w:r>
          </w:p>
        </w:tc>
      </w:tr>
    </w:tbl>
    <w:p/>
    <w:p>
      <w:r>
        <w:t xml:space="preserve">Then the build and deploy references that point into the directory: the vite config's root and outDir, </w:t>
      </w:r>
      <w:r>
        <w:rPr>
          <w:rFonts w:ascii="Consolas" w:hAnsi="Consolas"/>
          <w:sz w:val="17"/>
        </w:rPr>
        <w:t>_build_chain</w:t>
      </w:r>
      <w:r>
        <w:t xml:space="preserve">, </w:t>
      </w:r>
      <w:r>
        <w:rPr>
          <w:rFonts w:ascii="Consolas" w:hAnsi="Consolas"/>
          <w:sz w:val="17"/>
        </w:rPr>
        <w:t>_deploy_chain</w:t>
      </w:r>
      <w:r>
        <w:t xml:space="preserve">, </w:t>
      </w:r>
      <w:r>
        <w:rPr>
          <w:rFonts w:ascii="Consolas" w:hAnsi="Consolas"/>
          <w:sz w:val="17"/>
        </w:rPr>
        <w:t>hf_helpers</w:t>
      </w:r>
      <w:r>
        <w:t xml:space="preserve">, </w:t>
      </w:r>
      <w:r>
        <w:rPr>
          <w:rFonts w:ascii="Consolas" w:hAnsi="Consolas"/>
          <w:sz w:val="17"/>
        </w:rPr>
        <w:t>preflight_undefined_names</w:t>
      </w:r>
      <w:r>
        <w:t xml:space="preserve">, and </w:t>
      </w:r>
      <w:r>
        <w:rPr>
          <w:rFonts w:ascii="Consolas" w:hAnsi="Consolas"/>
          <w:sz w:val="17"/>
        </w:rPr>
        <w:t>tsconfig.json</w:t>
      </w:r>
      <w:r>
        <w:t>.</w:t>
      </w:r>
    </w:p>
    <w:p>
      <w:r>
        <w:rPr>
          <w:i/>
        </w:rPr>
        <w:t>Proof:</w:t>
      </w:r>
      <w:r>
        <w:t xml:space="preserve"> the bundle hash is unchanged where only location changed; the suites hold; and gate 1 reads zero.</w:t>
      </w:r>
    </w:p>
    <w:p>
      <w:pPr>
        <w:pStyle w:val="Heading3"/>
      </w:pPr>
      <w:r>
        <w:t>Phase 5a — route the traffic the firm does not originate</w:t>
      </w:r>
    </w:p>
    <w:p>
      <w:r>
        <w:t>Added after two agents found, independently, that no phase of this plan reached it. They are right: every other phase concerns one service's capability contract, its search router, or the deletion of a source directory. The OAuth callback, session issuance and the health probe are SharedServices routes, and nothing here touched them.</w:t>
      </w:r>
    </w:p>
    <w:p>
      <w:r>
        <w:rPr>
          <w:rFonts w:ascii="Consolas" w:hAnsi="Consolas"/>
          <w:sz w:val="17"/>
        </w:rPr>
        <w:t>EPIC-002-F-004-S-001-REQ-B-001</w:t>
      </w:r>
      <w:r>
        <w:t xml:space="preserve"> now requires that a request the firm does not originate arrives at a URI the Gate owns, with the Gate collecting the request facts and dispatching to the tool that handles it.</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route</w:t>
            </w:r>
          </w:p>
        </w:tc>
        <w:tc>
          <w:tcPr>
            <w:tcW w:type="dxa" w:w="4320"/>
          </w:tcPr>
          <w:p>
            <w:r>
              <w:rPr>
                <w:b/>
                <w:sz w:val="22"/>
              </w:rPr>
            </w:r>
            <w:r>
              <w:rPr>
                <w:b/>
                <w:sz w:val="22"/>
              </w:rPr>
              <w:t>work</w:t>
            </w:r>
          </w:p>
        </w:tc>
      </w:tr>
      <w:tr>
        <w:tc>
          <w:tcPr>
            <w:tcW w:type="dxa" w:w="4320"/>
          </w:tcPr>
          <w:p>
            <w:r>
              <w:rPr>
                <w:sz w:val="22"/>
              </w:rPr>
            </w:r>
            <w:r>
              <w:rPr>
                <w:sz w:val="22"/>
              </w:rPr>
              <w:t>the identity provider's redirect</w:t>
            </w:r>
          </w:p>
        </w:tc>
        <w:tc>
          <w:tcPr>
            <w:tcW w:type="dxa" w:w="4320"/>
          </w:tcPr>
          <w:p>
            <w:r>
              <w:rPr>
                <w:sz w:val="22"/>
              </w:rPr>
            </w:r>
            <w:r>
              <w:rPr>
                <w:sz w:val="22"/>
              </w:rPr>
              <w:t xml:space="preserve">register the callback URI under the Gate; recover the session from the signed </w:t>
            </w:r>
            <w:r>
              <w:rPr>
                <w:rFonts w:ascii="Consolas" w:hAnsi="Consolas"/>
                <w:sz w:val="22"/>
              </w:rPr>
              <w:t>state</w:t>
            </w:r>
            <w:r>
              <w:rPr>
                <w:sz w:val="22"/>
              </w:rPr>
              <w:t xml:space="preserve"> the callback already verifies; dispatch to the OAuth tool</w:t>
            </w:r>
          </w:p>
        </w:tc>
      </w:tr>
      <w:tr>
        <w:tc>
          <w:tcPr>
            <w:tcW w:type="dxa" w:w="4320"/>
          </w:tcPr>
          <w:p>
            <w:r>
              <w:rPr>
                <w:sz w:val="22"/>
              </w:rPr>
            </w:r>
            <w:r>
              <w:rPr>
                <w:rFonts w:ascii="Consolas" w:hAnsi="Consolas"/>
                <w:sz w:val="22"/>
              </w:rPr>
              <w:t>/welcome</w:t>
            </w:r>
            <w:r>
              <w:rPr>
                <w:sz w:val="22"/>
              </w:rPr>
              <w:t>, called directly by a browser widget</w:t>
            </w:r>
          </w:p>
        </w:tc>
        <w:tc>
          <w:tcPr>
            <w:tcW w:type="dxa" w:w="4320"/>
          </w:tcPr>
          <w:p>
            <w:r>
              <w:rPr>
                <w:sz w:val="22"/>
              </w:rPr>
            </w:r>
            <w:r>
              <w:rPr>
                <w:sz w:val="22"/>
              </w:rPr>
              <w:t xml:space="preserve">serve it through a Gate op, then </w:t>
            </w:r>
            <w:r>
              <w:rPr>
                <w:b/>
                <w:sz w:val="22"/>
              </w:rPr>
              <w:t>delete the route</w:t>
            </w:r>
            <w:r>
              <w:rPr>
                <w:sz w:val="22"/>
              </w:rPr>
              <w:t xml:space="preserve"> — routing the caller while leaving the door open closes the call site and not the door</w:t>
            </w:r>
          </w:p>
        </w:tc>
      </w:tr>
      <w:tr>
        <w:tc>
          <w:tcPr>
            <w:tcW w:type="dxa" w:w="4320"/>
          </w:tcPr>
          <w:p>
            <w:r>
              <w:rPr>
                <w:sz w:val="22"/>
              </w:rPr>
            </w:r>
            <w:r>
              <w:rPr>
                <w:rFonts w:ascii="Consolas" w:hAnsi="Consolas"/>
                <w:sz w:val="22"/>
              </w:rPr>
              <w:t>/health</w:t>
            </w:r>
          </w:p>
        </w:tc>
        <w:tc>
          <w:tcPr>
            <w:tcW w:type="dxa" w:w="4320"/>
          </w:tcPr>
          <w:p>
            <w:r>
              <w:rPr>
                <w:sz w:val="22"/>
              </w:rPr>
            </w:r>
            <w:r>
              <w:rPr>
                <w:sz w:val="22"/>
              </w:rPr>
              <w:t>the platform probe is not a client call and was a category error to list; what remains is that the route takes no token and answers from Mongo</w:t>
            </w:r>
          </w:p>
        </w:tc>
      </w:tr>
      <w:tr>
        <w:tc>
          <w:tcPr>
            <w:tcW w:type="dxa" w:w="4320"/>
          </w:tcPr>
          <w:p>
            <w:r>
              <w:rPr>
                <w:sz w:val="22"/>
              </w:rPr>
            </w:r>
            <w:r>
              <w:rPr>
                <w:sz w:val="22"/>
              </w:rPr>
              <w:t>session issuance</w:t>
            </w:r>
          </w:p>
        </w:tc>
        <w:tc>
          <w:tcPr>
            <w:tcW w:type="dxa" w:w="4320"/>
          </w:tcPr>
          <w:p>
            <w:r>
              <w:rPr>
                <w:sz w:val="22"/>
              </w:rPr>
            </w:r>
            <w:r>
              <w:rPr>
                <w:sz w:val="22"/>
              </w:rPr>
              <w:t>blocked on an operator decision: an unauthenticated op on the Gate weakens "no op is exempt", a separate endpoint weakens "one entrance"</w:t>
            </w:r>
          </w:p>
        </w:tc>
      </w:tr>
      <w:tr>
        <w:tc>
          <w:tcPr>
            <w:tcW w:type="dxa" w:w="4320"/>
          </w:tcPr>
          <w:p>
            <w:r>
              <w:rPr>
                <w:sz w:val="22"/>
              </w:rPr>
            </w:r>
            <w:r>
              <w:rPr>
                <w:sz w:val="22"/>
              </w:rPr>
              <w:t>the secrets and debug routes</w:t>
            </w:r>
          </w:p>
        </w:tc>
        <w:tc>
          <w:tcPr>
            <w:tcW w:type="dxa" w:w="4320"/>
          </w:tcPr>
          <w:p>
            <w:r>
              <w:rPr>
                <w:sz w:val="22"/>
              </w:rPr>
            </w:r>
            <w:r>
              <w:rPr>
                <w:sz w:val="22"/>
              </w:rPr>
              <w:t>deletion, and no phase scheduled it</w:t>
            </w:r>
          </w:p>
        </w:tc>
      </w:tr>
    </w:tbl>
    <w:p/>
    <w:p>
      <w:r>
        <w:rPr>
          <w:i/>
        </w:rPr>
        <w:t>Proof:</w:t>
      </w:r>
      <w:r>
        <w:t xml:space="preserve"> every client-reachable route outside the Gate is either dispatched through it or gone, and a check enumerates the routes each service exposes and compares them against the Gate's dispatch map.</w:t>
      </w:r>
    </w:p>
    <w:p>
      <w:r>
        <w:rPr>
          <w:b/>
        </w:rPr>
        <w:t>One honest note on sequence.</w:t>
      </w:r>
      <w:r>
        <w:t xml:space="preserve"> This phase does not depend on the others and the others do not depend on it. It is placed here because that is where it was found, not because anything blocks it — it could run first.</w:t>
      </w:r>
    </w:p>
    <w:p>
      <w:pPr>
        <w:pStyle w:val="Heading3"/>
      </w:pPr>
      <w:r>
        <w:t>Phase 6 — delete the directory</w:t>
      </w:r>
    </w:p>
    <w:p>
      <w:r>
        <w:rPr>
          <w:rFonts w:ascii="Consolas" w:hAnsi="Consolas"/>
          <w:sz w:val="17"/>
        </w:rPr>
        <w:t>git rm -r Code</w:t>
      </w:r>
      <w:r>
        <w:t>. The directory ceases to exist, gate 1 stays green permanently, and any future commit that reintroduces a path under it is refused.</w:t>
      </w:r>
    </w:p>
    <w:p>
      <w:r>
        <w:rPr>
          <w:i/>
        </w:rPr>
        <w:t>Proof:</w:t>
      </w:r>
      <w:r>
        <w:t xml:space="preserve"> the three commands in §0 agree.</w:t>
      </w:r>
    </w:p>
    <w:p>
      <w:pPr>
        <w:pStyle w:val="Heading2"/>
      </w:pPr>
      <w:r>
        <w:t>4. What one step looks like</w:t>
      </w:r>
    </w:p>
    <w:p>
      <w:r>
        <w:t>Every move in Phases 2, 3 and 5 is the same five, and the existing gates make a half-done step fail loudly rather than ship.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p>
        </w:tc>
        <w:tc>
          <w:tcPr>
            <w:tcW w:type="dxa" w:w="2880"/>
          </w:tcPr>
          <w:p>
            <w:r>
              <w:rPr>
                <w:b/>
                <w:sz w:val="22"/>
              </w:rPr>
            </w:r>
            <w:r>
              <w:rPr>
                <w:b/>
                <w:sz w:val="22"/>
              </w:rPr>
              <w:t>move</w:t>
            </w:r>
          </w:p>
        </w:tc>
        <w:tc>
          <w:tcPr>
            <w:tcW w:type="dxa" w:w="2880"/>
          </w:tcPr>
          <w:p>
            <w:r>
              <w:rPr>
                <w:b/>
                <w:sz w:val="22"/>
              </w:rPr>
            </w:r>
            <w:r>
              <w:rPr>
                <w:b/>
                <w:sz w:val="22"/>
              </w:rPr>
              <w:t>what catches a mistake</w:t>
            </w:r>
          </w:p>
        </w:tc>
      </w:tr>
      <w:tr>
        <w:tc>
          <w:tcPr>
            <w:tcW w:type="dxa" w:w="2880"/>
          </w:tcPr>
          <w:p>
            <w:r>
              <w:rPr>
                <w:sz w:val="22"/>
              </w:rPr>
            </w:r>
            <w:r>
              <w:rPr>
                <w:sz w:val="22"/>
              </w:rPr>
              <w:t>1</w:t>
            </w:r>
          </w:p>
        </w:tc>
        <w:tc>
          <w:tcPr>
            <w:tcW w:type="dxa" w:w="2880"/>
          </w:tcPr>
          <w:p>
            <w:r>
              <w:rPr>
                <w:sz w:val="22"/>
              </w:rPr>
            </w:r>
            <w:r>
              <w:rPr>
                <w:sz w:val="22"/>
              </w:rPr>
              <w:t>move the files</w:t>
            </w:r>
          </w:p>
        </w:tc>
        <w:tc>
          <w:tcPr>
            <w:tcW w:type="dxa" w:w="2880"/>
          </w:tcPr>
          <w:p>
            <w:r>
              <w:rPr>
                <w:sz w:val="22"/>
              </w:rPr>
            </w:r>
            <w:r>
              <w:rPr>
                <w:sz w:val="22"/>
              </w:rPr>
              <w:t>—</w:t>
            </w:r>
          </w:p>
        </w:tc>
      </w:tr>
      <w:tr>
        <w:tc>
          <w:tcPr>
            <w:tcW w:type="dxa" w:w="2880"/>
          </w:tcPr>
          <w:p>
            <w:r>
              <w:rPr>
                <w:sz w:val="22"/>
              </w:rPr>
            </w:r>
            <w:r>
              <w:rPr>
                <w:sz w:val="22"/>
              </w:rPr>
              <w:t>2</w:t>
            </w:r>
          </w:p>
        </w:tc>
        <w:tc>
          <w:tcPr>
            <w:tcW w:type="dxa" w:w="2880"/>
          </w:tcPr>
          <w:p>
            <w:r>
              <w:rPr>
                <w:sz w:val="22"/>
              </w:rPr>
            </w:r>
            <w:r>
              <w:rPr>
                <w:sz w:val="22"/>
              </w:rPr>
              <w:t>update the declaration to match</w:t>
            </w:r>
          </w:p>
        </w:tc>
        <w:tc>
          <w:tcPr>
            <w:tcW w:type="dxa" w:w="2880"/>
          </w:tcPr>
          <w:p>
            <w:r>
              <w:rPr>
                <w:sz w:val="22"/>
              </w:rPr>
            </w:r>
            <w:r>
              <w:rPr>
                <w:sz w:val="22"/>
              </w:rPr>
              <w:t xml:space="preserve">the build refuses a </w:t>
            </w:r>
            <w:r>
              <w:rPr>
                <w:rFonts w:ascii="Consolas" w:hAnsi="Consolas"/>
                <w:sz w:val="22"/>
              </w:rPr>
              <w:t>source_location</w:t>
            </w:r>
            <w:r>
              <w:rPr>
                <w:sz w:val="22"/>
              </w:rPr>
              <w:t xml:space="preserve"> not on disk</w:t>
            </w:r>
          </w:p>
        </w:tc>
      </w:tr>
      <w:tr>
        <w:tc>
          <w:tcPr>
            <w:tcW w:type="dxa" w:w="2880"/>
          </w:tcPr>
          <w:p>
            <w:r>
              <w:rPr>
                <w:sz w:val="22"/>
              </w:rPr>
            </w:r>
            <w:r>
              <w:rPr>
                <w:sz w:val="22"/>
              </w:rPr>
              <w:t>3</w:t>
            </w:r>
          </w:p>
        </w:tc>
        <w:tc>
          <w:tcPr>
            <w:tcW w:type="dxa" w:w="2880"/>
          </w:tcPr>
          <w:p>
            <w:r>
              <w:rPr>
                <w:sz w:val="22"/>
              </w:rPr>
            </w:r>
            <w:r>
              <w:rPr>
                <w:sz w:val="22"/>
              </w:rPr>
              <w:t>build</w:t>
            </w:r>
          </w:p>
        </w:tc>
        <w:tc>
          <w:tcPr>
            <w:tcW w:type="dxa" w:w="2880"/>
          </w:tcPr>
          <w:p>
            <w:r>
              <w:rPr>
                <w:sz w:val="22"/>
              </w:rPr>
            </w:r>
            <w:r>
              <w:rPr>
                <w:sz w:val="22"/>
              </w:rPr>
              <w:t>the crosswalk refuses a declared file that is missing</w:t>
            </w:r>
          </w:p>
        </w:tc>
      </w:tr>
      <w:tr>
        <w:tc>
          <w:tcPr>
            <w:tcW w:type="dxa" w:w="2880"/>
          </w:tcPr>
          <w:p>
            <w:r>
              <w:rPr>
                <w:sz w:val="22"/>
              </w:rPr>
            </w:r>
            <w:r>
              <w:rPr>
                <w:sz w:val="22"/>
              </w:rPr>
              <w:t>4</w:t>
            </w:r>
          </w:p>
        </w:tc>
        <w:tc>
          <w:tcPr>
            <w:tcW w:type="dxa" w:w="2880"/>
          </w:tcPr>
          <w:p>
            <w:r>
              <w:rPr>
                <w:sz w:val="22"/>
              </w:rPr>
            </w:r>
            <w:r>
              <w:rPr>
                <w:sz w:val="22"/>
              </w:rPr>
              <w:t>deploy</w:t>
            </w:r>
          </w:p>
        </w:tc>
        <w:tc>
          <w:tcPr>
            <w:tcW w:type="dxa" w:w="2880"/>
          </w:tcPr>
          <w:p>
            <w:r>
              <w:rPr>
                <w:sz w:val="22"/>
              </w:rPr>
            </w:r>
            <w:r>
              <w:rPr>
                <w:sz w:val="22"/>
              </w:rPr>
              <w:t>the deploy verifies the target reports the build it was given</w:t>
            </w:r>
          </w:p>
        </w:tc>
      </w:tr>
      <w:tr>
        <w:tc>
          <w:tcPr>
            <w:tcW w:type="dxa" w:w="2880"/>
          </w:tcPr>
          <w:p>
            <w:r>
              <w:rPr>
                <w:sz w:val="22"/>
              </w:rPr>
            </w:r>
            <w:r>
              <w:rPr>
                <w:sz w:val="22"/>
              </w:rPr>
              <w:t>5</w:t>
            </w:r>
          </w:p>
        </w:tc>
        <w:tc>
          <w:tcPr>
            <w:tcW w:type="dxa" w:w="2880"/>
          </w:tcPr>
          <w:p>
            <w:r>
              <w:rPr>
                <w:sz w:val="22"/>
              </w:rPr>
            </w:r>
            <w:r>
              <w:rPr>
                <w:sz w:val="22"/>
              </w:rPr>
              <w:t>run the gates</w:t>
            </w:r>
          </w:p>
        </w:tc>
        <w:tc>
          <w:tcPr>
            <w:tcW w:type="dxa" w:w="2880"/>
          </w:tcPr>
          <w:p>
            <w:r>
              <w:rPr>
                <w:sz w:val="22"/>
              </w:rPr>
            </w:r>
            <w:r>
              <w:rPr>
                <w:sz w:val="22"/>
              </w:rPr>
              <w:t>the numbers moved the right way, or the step is not done</w:t>
            </w:r>
          </w:p>
        </w:tc>
      </w:tr>
    </w:tbl>
    <w:p/>
    <w:p>
      <w:r>
        <w:rPr>
          <w:b/>
        </w:rPr>
        <w:t>One honest limit on step 3.</w:t>
      </w:r>
      <w:r>
        <w:t xml:space="preserve"> Content-hash drift is </w:t>
      </w:r>
      <w:r>
        <w:rPr>
          <w:i/>
        </w:rPr>
        <w:t>not</w:t>
      </w:r>
      <w:r>
        <w:t xml:space="preserve"> refused on dev, qa or prod: the build rewrites every hash from disk before the gate runs, and the deploy-side crosswalk is reachable only from the local deploy. What still holds everywhere is the presence check — a declared file that is missing — and that is the one that catches a missed declaration during a move, which is the mistake this plan is actually exposed to.</w:t>
      </w:r>
    </w:p>
    <w:p>
      <w:pPr>
        <w:pStyle w:val="Heading2"/>
      </w:pPr>
      <w:r>
        <w:t>5. What could stall this, and what I would do</w:t>
      </w:r>
    </w:p>
    <w:p>
      <w:pPr>
        <w:pStyle w:val="ListBullet"/>
      </w:pPr>
      <w:r>
        <w:rPr>
          <w:b/>
        </w:rPr>
        <w:t>A decision arrives that changes a destination.</w:t>
      </w:r>
      <w:r>
        <w:t xml:space="preserve"> The plan is a table of destinations; changing one is an edit, not a redesign.</w:t>
      </w:r>
    </w:p>
    <w:p>
      <w:pPr>
        <w:pStyle w:val="ListBullet"/>
      </w:pPr>
      <w:r>
        <w:rPr>
          <w:b/>
        </w:rPr>
        <w:t>A capability's routes will not separate cleanly</w:t>
      </w:r>
      <w:r>
        <w:t xml:space="preserve"> because two share state through a module-level object. Likely in the specialty and provider pair. I stop and bring you the coupling rather than inventing a shared home for it.</w:t>
      </w:r>
    </w:p>
    <w:p>
      <w:pPr>
        <w:pStyle w:val="ListBullet"/>
      </w:pPr>
      <w:r>
        <w:rPr>
          <w:b/>
        </w:rPr>
        <w:t>A gate cannot be written from behaviour</w:t>
      </w:r>
      <w:r>
        <w:t xml:space="preserve"> for one of the three. Then the architecture is not defined well enough to refactor toward, and that is worth knowing in a day rather than three weeks in.</w:t>
      </w:r>
    </w:p>
    <w:p>
      <w:pPr>
        <w:pStyle w:val="ListBullet"/>
      </w:pPr>
      <w:r>
        <w:rPr>
          <w:b/>
        </w:rPr>
        <w:t>The suites move.</w:t>
      </w:r>
      <w:r>
        <w:t xml:space="preserve"> Their known counts include failures already escalated to you. If a count changes, I report which test and why before continuing, because a suite whose baseline drifts silently is the same failure mode as everything else in these documents.</w:t>
      </w:r>
    </w:p>
    <w:p>
      <w:pPr>
        <w:pStyle w:val="Heading2"/>
      </w:pPr>
      <w:r>
        <w:t>6. What this plan does not do</w:t>
      </w:r>
    </w:p>
    <w:p>
      <w:pPr>
        <w:pStyle w:val="ListBullet"/>
      </w:pPr>
      <w:r>
        <w:rPr>
          <w:b/>
        </w:rPr>
        <w:t>It does not touch EvaluateCare.</w:t>
      </w:r>
      <w:r>
        <w:t xml:space="preserve"> The point is that EvaluateCare is built against a reference that is finished and measured, not against one changing underneath it.</w:t>
      </w:r>
    </w:p>
    <w:p>
      <w:pPr>
        <w:pStyle w:val="ListBullet"/>
      </w:pPr>
      <w:r>
        <w:rPr>
          <w:b/>
        </w:rPr>
        <w:t>It does not change what a person sees</w:t>
      </w:r>
      <w:r>
        <w:t>, until Phase 4 adds the facility taxonomy panel. Every phase before that is structural.</w:t>
      </w:r>
    </w:p>
    <w:p>
      <w:pPr>
        <w:pStyle w:val="ListBullet"/>
      </w:pPr>
      <w:r>
        <w:rPr>
          <w:b/>
        </w:rPr>
        <w:t>It does not fix the findings.</w:t>
      </w:r>
      <w:r>
        <w:t xml:space="preserve"> The forgeable presence proof, the agent's unconditioned Owner, the cross-frame code execution, the scoped-fire destruction — those are yours to schedule and none is in scope here.</w:t>
      </w:r>
    </w:p>
    <w:p>
      <w:pPr>
        <w:pStyle w:val="ListBullet"/>
      </w:pPr>
      <w:r>
        <w:rPr>
          <w:b/>
        </w:rPr>
        <w:t>It does not close the general case of BUG-008.</w:t>
      </w:r>
      <w:r>
        <w:t xml:space="preserve"> Gate 2 closes the tool-level reverse direction. That what is </w:t>
      </w:r>
      <w:r>
        <w:rPr>
          <w:i/>
        </w:rPr>
        <w:t>deployed</w:t>
      </w:r>
      <w:r>
        <w:t xml:space="preserve"> is not held to what the repository says remains open and is larger than this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