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C0B" w:rsidRPr="005C7C0B" w:rsidRDefault="005C7C0B" w:rsidP="005C7C0B">
      <w:pPr>
        <w:autoSpaceDE w:val="0"/>
        <w:autoSpaceDN w:val="0"/>
        <w:adjustRightInd w:val="0"/>
        <w:spacing w:after="0" w:line="240" w:lineRule="auto"/>
        <w:rPr>
          <w:rFonts w:ascii="GulliverRM" w:eastAsia="GulliverRM" w:cs="GulliverRM"/>
          <w:b/>
          <w:i/>
          <w:sz w:val="13"/>
          <w:szCs w:val="13"/>
          <w:u w:val="single"/>
        </w:rPr>
      </w:pPr>
      <w:r w:rsidRPr="005C7C0B">
        <w:rPr>
          <w:rFonts w:ascii="GulliverRM" w:eastAsia="GulliverRM" w:cs="GulliverRM"/>
          <w:b/>
          <w:i/>
          <w:sz w:val="13"/>
          <w:szCs w:val="13"/>
          <w:u w:val="single"/>
        </w:rPr>
        <w:t>Panel A: common variables</w:t>
      </w:r>
    </w:p>
    <w:p w:rsidR="005C7C0B" w:rsidRDefault="005C7C0B" w:rsidP="005C7C0B">
      <w:pPr>
        <w:autoSpaceDE w:val="0"/>
        <w:autoSpaceDN w:val="0"/>
        <w:adjustRightInd w:val="0"/>
        <w:spacing w:after="0" w:line="240" w:lineRule="auto"/>
        <w:rPr>
          <w:rFonts w:ascii="GulliverRM" w:eastAsia="GulliverRM" w:cs="GulliverRM"/>
          <w:sz w:val="13"/>
          <w:szCs w:val="13"/>
        </w:rPr>
      </w:pPr>
      <w:r w:rsidRPr="005C7C0B">
        <w:rPr>
          <w:rFonts w:ascii="GulliverIT" w:eastAsia="GulliverRM" w:hAnsi="GulliverIT" w:cs="GulliverIT"/>
          <w:b/>
          <w:sz w:val="13"/>
          <w:szCs w:val="13"/>
        </w:rPr>
        <w:t>RET</w:t>
      </w:r>
      <w:r>
        <w:rPr>
          <w:rFonts w:ascii="GulliverIT" w:eastAsia="GulliverRM" w:hAnsi="GulliverIT" w:cs="GulliverIT"/>
          <w:sz w:val="13"/>
          <w:szCs w:val="13"/>
        </w:rPr>
        <w:t xml:space="preserve"> </w:t>
      </w:r>
      <w:r>
        <w:rPr>
          <w:rFonts w:ascii="GulliverRM" w:eastAsia="GulliverRM" w:cs="GulliverRM"/>
          <w:sz w:val="13"/>
          <w:szCs w:val="13"/>
        </w:rPr>
        <w:t>Quarterly returns based on the EURO STOXX50 stock index</w:t>
      </w:r>
    </w:p>
    <w:p w:rsidR="005C7C0B" w:rsidRDefault="005C7C0B" w:rsidP="005C7C0B">
      <w:pPr>
        <w:autoSpaceDE w:val="0"/>
        <w:autoSpaceDN w:val="0"/>
        <w:adjustRightInd w:val="0"/>
        <w:spacing w:after="0" w:line="240" w:lineRule="auto"/>
        <w:rPr>
          <w:rFonts w:ascii="GulliverRM" w:eastAsia="GulliverRM" w:cs="GulliverRM"/>
          <w:sz w:val="13"/>
          <w:szCs w:val="13"/>
        </w:rPr>
      </w:pPr>
      <w:r w:rsidRPr="005C7C0B">
        <w:rPr>
          <w:rFonts w:ascii="OnemtmiguAAAA" w:eastAsia="OnemtmiguAAAA" w:cs="OnemtmiguAAAA"/>
          <w:b/>
          <w:sz w:val="13"/>
          <w:szCs w:val="13"/>
        </w:rPr>
        <w:t>_</w:t>
      </w:r>
      <w:r w:rsidRPr="005C7C0B">
        <w:rPr>
          <w:rFonts w:ascii="GulliverIT" w:eastAsia="GulliverRM" w:hAnsi="GulliverIT" w:cs="GulliverIT"/>
          <w:b/>
          <w:sz w:val="13"/>
          <w:szCs w:val="13"/>
        </w:rPr>
        <w:t>VOL</w:t>
      </w:r>
      <w:r>
        <w:rPr>
          <w:rFonts w:ascii="GulliverIT" w:eastAsia="GulliverRM" w:hAnsi="GulliverIT" w:cs="GulliverIT"/>
          <w:sz w:val="13"/>
          <w:szCs w:val="13"/>
        </w:rPr>
        <w:t xml:space="preserve"> </w:t>
      </w:r>
      <w:r>
        <w:rPr>
          <w:rFonts w:ascii="GulliverRM" w:eastAsia="GulliverRM" w:cs="GulliverRM"/>
          <w:sz w:val="13"/>
          <w:szCs w:val="13"/>
        </w:rPr>
        <w:t xml:space="preserve">Quarterly changes in implied volatilities of EURO STOXX 50 options traded at the </w:t>
      </w:r>
      <w:proofErr w:type="spellStart"/>
      <w:r>
        <w:rPr>
          <w:rFonts w:ascii="GulliverRM" w:eastAsia="GulliverRM" w:cs="GulliverRM"/>
          <w:sz w:val="13"/>
          <w:szCs w:val="13"/>
        </w:rPr>
        <w:t>Eurex</w:t>
      </w:r>
      <w:proofErr w:type="spellEnd"/>
      <w:r>
        <w:rPr>
          <w:rFonts w:ascii="GulliverRM" w:eastAsia="GulliverRM" w:cs="GulliverRM"/>
          <w:sz w:val="13"/>
          <w:szCs w:val="13"/>
        </w:rPr>
        <w:t xml:space="preserve"> and</w:t>
      </w:r>
      <w:r>
        <w:rPr>
          <w:rFonts w:ascii="GulliverRM" w:eastAsia="GulliverRM" w:cs="GulliverRM"/>
          <w:sz w:val="13"/>
          <w:szCs w:val="13"/>
        </w:rPr>
        <w:t xml:space="preserve"> </w:t>
      </w:r>
      <w:r>
        <w:rPr>
          <w:rFonts w:ascii="GulliverRM" w:eastAsia="GulliverRM" w:cs="GulliverRM"/>
          <w:sz w:val="13"/>
          <w:szCs w:val="13"/>
        </w:rPr>
        <w:t>reflected by the Dow Jones EURO STOXX 50 Volatility Index (VSTOXX). The volatility is calculated</w:t>
      </w:r>
      <w:r>
        <w:rPr>
          <w:rFonts w:ascii="GulliverRM" w:eastAsia="GulliverRM" w:cs="GulliverRM"/>
          <w:sz w:val="13"/>
          <w:szCs w:val="13"/>
        </w:rPr>
        <w:t xml:space="preserve"> </w:t>
      </w:r>
      <w:r>
        <w:rPr>
          <w:rFonts w:ascii="GulliverRM" w:eastAsia="GulliverRM" w:cs="GulliverRM"/>
          <w:sz w:val="13"/>
          <w:szCs w:val="13"/>
        </w:rPr>
        <w:t>as the average of the puts</w:t>
      </w:r>
      <w:r>
        <w:rPr>
          <w:rFonts w:ascii="GulliverRM" w:eastAsia="GulliverRM" w:cs="GulliverRM" w:hint="eastAsia"/>
          <w:sz w:val="13"/>
          <w:szCs w:val="13"/>
        </w:rPr>
        <w:t>’</w:t>
      </w:r>
      <w:r>
        <w:rPr>
          <w:rFonts w:ascii="GulliverRM" w:eastAsia="GulliverRM" w:cs="GulliverRM"/>
          <w:sz w:val="13"/>
          <w:szCs w:val="13"/>
        </w:rPr>
        <w:t xml:space="preserve"> and the calls</w:t>
      </w:r>
      <w:r>
        <w:rPr>
          <w:rFonts w:ascii="GulliverRM" w:eastAsia="GulliverRM" w:cs="GulliverRM" w:hint="eastAsia"/>
          <w:sz w:val="13"/>
          <w:szCs w:val="13"/>
        </w:rPr>
        <w:t>’</w:t>
      </w:r>
      <w:r>
        <w:rPr>
          <w:rFonts w:ascii="GulliverRM" w:eastAsia="GulliverRM" w:cs="GulliverRM"/>
          <w:sz w:val="13"/>
          <w:szCs w:val="13"/>
        </w:rPr>
        <w:t xml:space="preserve"> implied volatilities at a fixed time to maturity of 30 days</w:t>
      </w:r>
    </w:p>
    <w:p w:rsidR="005C7C0B" w:rsidRDefault="005C7C0B" w:rsidP="005C7C0B">
      <w:pPr>
        <w:autoSpaceDE w:val="0"/>
        <w:autoSpaceDN w:val="0"/>
        <w:adjustRightInd w:val="0"/>
        <w:spacing w:after="0" w:line="240" w:lineRule="auto"/>
        <w:rPr>
          <w:rFonts w:ascii="GulliverRM" w:eastAsia="GulliverRM" w:cs="GulliverRM"/>
          <w:sz w:val="13"/>
          <w:szCs w:val="13"/>
        </w:rPr>
      </w:pPr>
      <w:r w:rsidRPr="005C7C0B">
        <w:rPr>
          <w:rFonts w:ascii="OnemtmiguAAAA" w:eastAsia="OnemtmiguAAAA" w:cs="OnemtmiguAAAA"/>
          <w:b/>
          <w:sz w:val="13"/>
          <w:szCs w:val="13"/>
        </w:rPr>
        <w:t>_</w:t>
      </w:r>
      <w:r w:rsidRPr="005C7C0B">
        <w:rPr>
          <w:rFonts w:ascii="GulliverIT" w:eastAsia="GulliverRM" w:hAnsi="GulliverIT" w:cs="GulliverIT"/>
          <w:b/>
          <w:sz w:val="13"/>
          <w:szCs w:val="13"/>
        </w:rPr>
        <w:t>YLD</w:t>
      </w:r>
      <w:r>
        <w:rPr>
          <w:rFonts w:ascii="GulliverIT" w:eastAsia="GulliverRM" w:hAnsi="GulliverIT" w:cs="GulliverIT"/>
          <w:sz w:val="13"/>
          <w:szCs w:val="13"/>
        </w:rPr>
        <w:t xml:space="preserve"> </w:t>
      </w:r>
      <w:r>
        <w:rPr>
          <w:rFonts w:ascii="GulliverRM" w:eastAsia="GulliverRM" w:cs="GulliverRM"/>
          <w:sz w:val="13"/>
          <w:szCs w:val="13"/>
        </w:rPr>
        <w:t>Quarterly changes in the zero-coupon rate of the 10-year German government bond</w:t>
      </w:r>
    </w:p>
    <w:p w:rsidR="005C7C0B" w:rsidRDefault="005C7C0B" w:rsidP="005C7C0B">
      <w:pPr>
        <w:autoSpaceDE w:val="0"/>
        <w:autoSpaceDN w:val="0"/>
        <w:adjustRightInd w:val="0"/>
        <w:spacing w:after="0" w:line="240" w:lineRule="auto"/>
        <w:rPr>
          <w:rFonts w:ascii="GulliverRM" w:eastAsia="GulliverRM" w:cs="GulliverRM"/>
          <w:sz w:val="13"/>
          <w:szCs w:val="13"/>
        </w:rPr>
      </w:pPr>
      <w:r w:rsidRPr="005C7C0B">
        <w:rPr>
          <w:rFonts w:ascii="OnemtmiguAAAA" w:eastAsia="OnemtmiguAAAA" w:cs="OnemtmiguAAAA"/>
          <w:b/>
          <w:sz w:val="13"/>
          <w:szCs w:val="13"/>
        </w:rPr>
        <w:t>_</w:t>
      </w:r>
      <w:r w:rsidRPr="005C7C0B">
        <w:rPr>
          <w:rFonts w:ascii="GulliverIT" w:eastAsia="GulliverRM" w:hAnsi="GulliverIT" w:cs="GulliverIT"/>
          <w:b/>
          <w:sz w:val="13"/>
          <w:szCs w:val="13"/>
        </w:rPr>
        <w:t>SLP</w:t>
      </w:r>
      <w:r>
        <w:rPr>
          <w:rFonts w:ascii="GulliverIT" w:eastAsia="GulliverRM" w:hAnsi="GulliverIT" w:cs="GulliverIT"/>
          <w:sz w:val="13"/>
          <w:szCs w:val="13"/>
        </w:rPr>
        <w:t xml:space="preserve"> </w:t>
      </w:r>
      <w:r>
        <w:rPr>
          <w:rFonts w:ascii="GulliverRM" w:eastAsia="GulliverRM" w:cs="GulliverRM"/>
          <w:sz w:val="13"/>
          <w:szCs w:val="13"/>
        </w:rPr>
        <w:t>Quarterly changes in the slope of the default-free term structure defined by the German yield</w:t>
      </w:r>
      <w:r>
        <w:rPr>
          <w:rFonts w:ascii="GulliverRM" w:eastAsia="GulliverRM" w:cs="GulliverRM"/>
          <w:sz w:val="13"/>
          <w:szCs w:val="13"/>
        </w:rPr>
        <w:t xml:space="preserve"> </w:t>
      </w:r>
      <w:r>
        <w:rPr>
          <w:rFonts w:ascii="GulliverRM" w:eastAsia="GulliverRM" w:cs="GulliverRM"/>
          <w:sz w:val="13"/>
          <w:szCs w:val="13"/>
        </w:rPr>
        <w:t>curve. The slope is defined as the difference between the 15-year and the 1-year spot rates</w:t>
      </w:r>
    </w:p>
    <w:p w:rsidR="005C7C0B" w:rsidRDefault="005C7C0B" w:rsidP="005C7C0B">
      <w:pPr>
        <w:autoSpaceDE w:val="0"/>
        <w:autoSpaceDN w:val="0"/>
        <w:adjustRightInd w:val="0"/>
        <w:spacing w:after="0" w:line="240" w:lineRule="auto"/>
        <w:rPr>
          <w:rFonts w:ascii="GulliverRM" w:eastAsia="GulliverRM" w:cs="GulliverRM"/>
          <w:sz w:val="13"/>
          <w:szCs w:val="13"/>
        </w:rPr>
      </w:pPr>
      <w:r w:rsidRPr="005C7C0B">
        <w:rPr>
          <w:rFonts w:ascii="OnemtmiguAAAA" w:eastAsia="OnemtmiguAAAA" w:cs="OnemtmiguAAAA"/>
          <w:b/>
          <w:sz w:val="13"/>
          <w:szCs w:val="13"/>
        </w:rPr>
        <w:t>_</w:t>
      </w:r>
      <w:r w:rsidRPr="005C7C0B">
        <w:rPr>
          <w:rFonts w:ascii="GulliverIT" w:eastAsia="GulliverRM" w:hAnsi="GulliverIT" w:cs="GulliverIT"/>
          <w:b/>
          <w:sz w:val="13"/>
          <w:szCs w:val="13"/>
        </w:rPr>
        <w:t xml:space="preserve">CURV </w:t>
      </w:r>
      <w:r>
        <w:rPr>
          <w:rFonts w:ascii="GulliverRM" w:eastAsia="GulliverRM" w:cs="GulliverRM"/>
          <w:sz w:val="13"/>
          <w:szCs w:val="13"/>
        </w:rPr>
        <w:t>Quarterly changes in the curvature of the default-free term structure defined by the German yield</w:t>
      </w:r>
      <w:r>
        <w:rPr>
          <w:rFonts w:ascii="GulliverRM" w:eastAsia="GulliverRM" w:cs="GulliverRM"/>
          <w:sz w:val="13"/>
          <w:szCs w:val="13"/>
        </w:rPr>
        <w:t xml:space="preserve"> </w:t>
      </w:r>
      <w:r>
        <w:rPr>
          <w:rFonts w:ascii="GulliverRM" w:eastAsia="GulliverRM" w:cs="GulliverRM"/>
          <w:sz w:val="13"/>
          <w:szCs w:val="13"/>
        </w:rPr>
        <w:t>curve. The curvature factor is defined as the difference between the 3.5-year spot rate and a</w:t>
      </w:r>
      <w:r>
        <w:rPr>
          <w:rFonts w:ascii="GulliverRM" w:eastAsia="GulliverRM" w:cs="GulliverRM"/>
          <w:sz w:val="13"/>
          <w:szCs w:val="13"/>
        </w:rPr>
        <w:t xml:space="preserve"> </w:t>
      </w:r>
      <w:r>
        <w:rPr>
          <w:rFonts w:ascii="GulliverRM" w:eastAsia="GulliverRM" w:cs="GulliverRM"/>
          <w:sz w:val="13"/>
          <w:szCs w:val="13"/>
        </w:rPr>
        <w:t>synthetic spot rate for a maturity of 3.5 years interpolated between the 15-year and the 1-year</w:t>
      </w:r>
      <w:r>
        <w:rPr>
          <w:rFonts w:ascii="GulliverRM" w:eastAsia="GulliverRM" w:cs="GulliverRM"/>
          <w:sz w:val="13"/>
          <w:szCs w:val="13"/>
        </w:rPr>
        <w:t xml:space="preserve"> </w:t>
      </w:r>
      <w:r>
        <w:rPr>
          <w:rFonts w:ascii="GulliverRM" w:eastAsia="GulliverRM" w:cs="GulliverRM"/>
          <w:sz w:val="13"/>
          <w:szCs w:val="13"/>
        </w:rPr>
        <w:t>spot rates</w:t>
      </w:r>
    </w:p>
    <w:p w:rsidR="005C7C0B" w:rsidRPr="005C7C0B" w:rsidRDefault="005C7C0B" w:rsidP="005C7C0B">
      <w:pPr>
        <w:autoSpaceDE w:val="0"/>
        <w:autoSpaceDN w:val="0"/>
        <w:adjustRightInd w:val="0"/>
        <w:spacing w:after="0" w:line="240" w:lineRule="auto"/>
        <w:rPr>
          <w:rFonts w:eastAsia="GulliverRM" w:cs="GulliverRM"/>
          <w:sz w:val="13"/>
          <w:szCs w:val="13"/>
        </w:rPr>
      </w:pPr>
      <w:bookmarkStart w:id="0" w:name="_GoBack"/>
      <w:bookmarkEnd w:id="0"/>
    </w:p>
    <w:p w:rsidR="005C7C0B" w:rsidRPr="005C7C0B" w:rsidRDefault="005C7C0B" w:rsidP="005C7C0B">
      <w:pPr>
        <w:autoSpaceDE w:val="0"/>
        <w:autoSpaceDN w:val="0"/>
        <w:adjustRightInd w:val="0"/>
        <w:spacing w:after="0" w:line="240" w:lineRule="auto"/>
        <w:rPr>
          <w:rFonts w:ascii="GulliverRM" w:eastAsia="GulliverRM" w:cs="GulliverRM"/>
          <w:b/>
          <w:i/>
          <w:sz w:val="13"/>
          <w:szCs w:val="13"/>
          <w:u w:val="single"/>
        </w:rPr>
      </w:pPr>
      <w:r w:rsidRPr="005C7C0B">
        <w:rPr>
          <w:rFonts w:ascii="GulliverRM" w:eastAsia="GulliverRM" w:cs="GulliverRM"/>
          <w:b/>
          <w:i/>
          <w:sz w:val="13"/>
          <w:szCs w:val="13"/>
          <w:u w:val="single"/>
        </w:rPr>
        <w:t>Panel B: country-specific variables</w:t>
      </w:r>
    </w:p>
    <w:p w:rsidR="005C7C0B" w:rsidRDefault="005C7C0B" w:rsidP="005C7C0B">
      <w:pPr>
        <w:autoSpaceDE w:val="0"/>
        <w:autoSpaceDN w:val="0"/>
        <w:adjustRightInd w:val="0"/>
        <w:spacing w:after="0" w:line="240" w:lineRule="auto"/>
        <w:rPr>
          <w:rFonts w:ascii="GulliverRM" w:eastAsia="GulliverRM" w:cs="GulliverRM"/>
          <w:sz w:val="13"/>
          <w:szCs w:val="13"/>
        </w:rPr>
      </w:pPr>
      <w:r w:rsidRPr="005C7C0B">
        <w:rPr>
          <w:rFonts w:ascii="OnemtmiguAAAA" w:eastAsia="OnemtmiguAAAA" w:cs="OnemtmiguAAAA"/>
          <w:b/>
          <w:sz w:val="13"/>
          <w:szCs w:val="13"/>
        </w:rPr>
        <w:t>_</w:t>
      </w:r>
      <w:proofErr w:type="spellStart"/>
      <w:r w:rsidRPr="005C7C0B">
        <w:rPr>
          <w:rFonts w:ascii="GulliverIT" w:eastAsia="GulliverRM" w:hAnsi="GulliverIT" w:cs="GulliverIT"/>
          <w:b/>
          <w:sz w:val="13"/>
          <w:szCs w:val="13"/>
        </w:rPr>
        <w:t>LIQ</w:t>
      </w:r>
      <w:r w:rsidRPr="005C7C0B">
        <w:rPr>
          <w:rFonts w:ascii="GulliverIT" w:eastAsia="GulliverRM" w:hAnsi="GulliverIT" w:cs="GulliverIT"/>
          <w:b/>
          <w:sz w:val="9"/>
          <w:szCs w:val="9"/>
        </w:rPr>
        <w:t>j</w:t>
      </w:r>
      <w:proofErr w:type="spellEnd"/>
      <w:r>
        <w:rPr>
          <w:rFonts w:ascii="GulliverIT" w:eastAsia="GulliverRM" w:hAnsi="GulliverIT" w:cs="GulliverIT"/>
          <w:sz w:val="9"/>
          <w:szCs w:val="9"/>
        </w:rPr>
        <w:t xml:space="preserve"> </w:t>
      </w:r>
      <w:r>
        <w:rPr>
          <w:rFonts w:ascii="GulliverRM" w:eastAsia="GulliverRM" w:cs="GulliverRM"/>
          <w:sz w:val="13"/>
          <w:szCs w:val="13"/>
        </w:rPr>
        <w:t>Quarterly changes in the Weighted Mean Absolute Pricing Error (</w:t>
      </w:r>
      <w:r>
        <w:rPr>
          <w:rFonts w:ascii="GulliverIT" w:eastAsia="GulliverRM" w:hAnsi="GulliverIT" w:cs="GulliverIT"/>
          <w:sz w:val="13"/>
          <w:szCs w:val="13"/>
        </w:rPr>
        <w:t>WMAPE</w:t>
      </w:r>
      <w:r>
        <w:rPr>
          <w:rFonts w:ascii="GulliverRM" w:eastAsia="GulliverRM" w:cs="GulliverRM"/>
          <w:sz w:val="13"/>
          <w:szCs w:val="13"/>
        </w:rPr>
        <w:t>). This statistic represents</w:t>
      </w:r>
      <w:r>
        <w:rPr>
          <w:rFonts w:ascii="GulliverRM" w:eastAsia="GulliverRM" w:cs="GulliverRM"/>
          <w:sz w:val="13"/>
          <w:szCs w:val="13"/>
        </w:rPr>
        <w:t xml:space="preserve"> </w:t>
      </w:r>
      <w:r>
        <w:rPr>
          <w:rFonts w:ascii="GulliverRM" w:eastAsia="GulliverRM" w:cs="GulliverRM"/>
          <w:sz w:val="13"/>
          <w:szCs w:val="13"/>
        </w:rPr>
        <w:t>a proxy for the liquidity risk measured along the yield curve for each country</w:t>
      </w:r>
    </w:p>
    <w:p w:rsidR="005C7C0B" w:rsidRDefault="005C7C0B" w:rsidP="005C7C0B">
      <w:pPr>
        <w:autoSpaceDE w:val="0"/>
        <w:autoSpaceDN w:val="0"/>
        <w:adjustRightInd w:val="0"/>
        <w:spacing w:after="0" w:line="240" w:lineRule="auto"/>
        <w:rPr>
          <w:rFonts w:ascii="GulliverRM" w:eastAsia="GulliverRM" w:cs="GulliverRM"/>
          <w:sz w:val="13"/>
          <w:szCs w:val="13"/>
        </w:rPr>
      </w:pPr>
      <w:r w:rsidRPr="005C7C0B">
        <w:rPr>
          <w:rFonts w:ascii="OnemtmiguAAAA" w:eastAsia="OnemtmiguAAAA" w:cs="OnemtmiguAAAA"/>
          <w:b/>
          <w:sz w:val="13"/>
          <w:szCs w:val="13"/>
        </w:rPr>
        <w:t>_</w:t>
      </w:r>
      <w:proofErr w:type="spellStart"/>
      <w:r w:rsidRPr="005C7C0B">
        <w:rPr>
          <w:rFonts w:ascii="GulliverIT" w:eastAsia="GulliverRM" w:hAnsi="GulliverIT" w:cs="GulliverIT"/>
          <w:b/>
          <w:sz w:val="13"/>
          <w:szCs w:val="13"/>
        </w:rPr>
        <w:t>DEBT</w:t>
      </w:r>
      <w:r w:rsidRPr="005C7C0B">
        <w:rPr>
          <w:rFonts w:ascii="GulliverIT" w:eastAsia="GulliverRM" w:hAnsi="GulliverIT" w:cs="GulliverIT"/>
          <w:b/>
          <w:sz w:val="9"/>
          <w:szCs w:val="9"/>
        </w:rPr>
        <w:t>j</w:t>
      </w:r>
      <w:proofErr w:type="spellEnd"/>
      <w:r>
        <w:rPr>
          <w:rFonts w:ascii="GulliverIT" w:eastAsia="GulliverRM" w:hAnsi="GulliverIT" w:cs="GulliverIT"/>
          <w:sz w:val="9"/>
          <w:szCs w:val="9"/>
        </w:rPr>
        <w:t xml:space="preserve"> </w:t>
      </w:r>
      <w:r>
        <w:rPr>
          <w:rFonts w:ascii="GulliverRM" w:eastAsia="GulliverRM" w:cs="GulliverRM"/>
          <w:sz w:val="13"/>
          <w:szCs w:val="13"/>
        </w:rPr>
        <w:t>Quarterly changes in the government debt, excluding debt interest payments, relative to GDP</w:t>
      </w:r>
    </w:p>
    <w:p w:rsidR="005C7C0B" w:rsidRDefault="005C7C0B" w:rsidP="005C7C0B">
      <w:pPr>
        <w:autoSpaceDE w:val="0"/>
        <w:autoSpaceDN w:val="0"/>
        <w:adjustRightInd w:val="0"/>
        <w:spacing w:after="0" w:line="240" w:lineRule="auto"/>
        <w:rPr>
          <w:rFonts w:ascii="GulliverRM" w:eastAsia="GulliverRM" w:cs="GulliverRM"/>
          <w:sz w:val="13"/>
          <w:szCs w:val="13"/>
        </w:rPr>
      </w:pPr>
      <w:r w:rsidRPr="005C7C0B">
        <w:rPr>
          <w:rFonts w:ascii="OnemtmiguAAAA" w:eastAsia="OnemtmiguAAAA" w:cs="OnemtmiguAAAA"/>
          <w:b/>
          <w:sz w:val="13"/>
          <w:szCs w:val="13"/>
        </w:rPr>
        <w:t>_</w:t>
      </w:r>
      <w:proofErr w:type="spellStart"/>
      <w:r w:rsidRPr="005C7C0B">
        <w:rPr>
          <w:rFonts w:ascii="GulliverIT" w:eastAsia="GulliverRM" w:hAnsi="GulliverIT" w:cs="GulliverIT"/>
          <w:b/>
          <w:sz w:val="13"/>
          <w:szCs w:val="13"/>
        </w:rPr>
        <w:t>GCONS</w:t>
      </w:r>
      <w:r w:rsidRPr="005C7C0B">
        <w:rPr>
          <w:rFonts w:ascii="GulliverIT" w:eastAsia="GulliverRM" w:hAnsi="GulliverIT" w:cs="GulliverIT"/>
          <w:b/>
          <w:sz w:val="9"/>
          <w:szCs w:val="9"/>
        </w:rPr>
        <w:t>j</w:t>
      </w:r>
      <w:proofErr w:type="spellEnd"/>
      <w:r>
        <w:rPr>
          <w:rFonts w:ascii="GulliverIT" w:eastAsia="GulliverRM" w:hAnsi="GulliverIT" w:cs="GulliverIT"/>
          <w:sz w:val="9"/>
          <w:szCs w:val="9"/>
        </w:rPr>
        <w:t xml:space="preserve"> </w:t>
      </w:r>
      <w:r>
        <w:rPr>
          <w:rFonts w:ascii="GulliverRM" w:eastAsia="GulliverRM" w:cs="GulliverRM"/>
          <w:sz w:val="13"/>
          <w:szCs w:val="13"/>
        </w:rPr>
        <w:t>Quarterly changes in the Government intermediate consumption relative to GDP</w:t>
      </w:r>
    </w:p>
    <w:p w:rsidR="005C7C0B" w:rsidRDefault="005C7C0B" w:rsidP="005C7C0B">
      <w:pPr>
        <w:autoSpaceDE w:val="0"/>
        <w:autoSpaceDN w:val="0"/>
        <w:adjustRightInd w:val="0"/>
        <w:spacing w:after="0" w:line="240" w:lineRule="auto"/>
        <w:rPr>
          <w:rFonts w:ascii="GulliverRM" w:eastAsia="GulliverRM" w:cs="GulliverRM"/>
          <w:sz w:val="13"/>
          <w:szCs w:val="13"/>
        </w:rPr>
      </w:pPr>
      <w:r w:rsidRPr="005C7C0B">
        <w:rPr>
          <w:rFonts w:ascii="OnemtmiguAAAA" w:eastAsia="OnemtmiguAAAA" w:cs="OnemtmiguAAAA"/>
          <w:b/>
          <w:sz w:val="13"/>
          <w:szCs w:val="13"/>
        </w:rPr>
        <w:t>_</w:t>
      </w:r>
      <w:proofErr w:type="spellStart"/>
      <w:r w:rsidRPr="005C7C0B">
        <w:rPr>
          <w:rFonts w:ascii="GulliverIT" w:eastAsia="GulliverRM" w:hAnsi="GulliverIT" w:cs="GulliverIT"/>
          <w:b/>
          <w:sz w:val="13"/>
          <w:szCs w:val="13"/>
        </w:rPr>
        <w:t>GINV</w:t>
      </w:r>
      <w:r w:rsidRPr="005C7C0B">
        <w:rPr>
          <w:rFonts w:ascii="GulliverIT" w:eastAsia="GulliverRM" w:hAnsi="GulliverIT" w:cs="GulliverIT"/>
          <w:b/>
          <w:sz w:val="9"/>
          <w:szCs w:val="9"/>
        </w:rPr>
        <w:t>j</w:t>
      </w:r>
      <w:proofErr w:type="spellEnd"/>
      <w:r>
        <w:rPr>
          <w:rFonts w:ascii="GulliverIT" w:eastAsia="GulliverRM" w:hAnsi="GulliverIT" w:cs="GulliverIT"/>
          <w:sz w:val="9"/>
          <w:szCs w:val="9"/>
        </w:rPr>
        <w:t xml:space="preserve"> </w:t>
      </w:r>
      <w:r>
        <w:rPr>
          <w:rFonts w:ascii="GulliverRM" w:eastAsia="GulliverRM" w:cs="GulliverRM"/>
          <w:sz w:val="13"/>
          <w:szCs w:val="13"/>
        </w:rPr>
        <w:t>Quarterly changes in the Government capital investment level relative to GDP</w:t>
      </w:r>
    </w:p>
    <w:p w:rsidR="005C7C0B" w:rsidRDefault="005C7C0B" w:rsidP="005C7C0B">
      <w:pPr>
        <w:autoSpaceDE w:val="0"/>
        <w:autoSpaceDN w:val="0"/>
        <w:adjustRightInd w:val="0"/>
        <w:spacing w:after="0" w:line="240" w:lineRule="auto"/>
        <w:rPr>
          <w:rFonts w:ascii="GulliverRM" w:eastAsia="GulliverRM" w:cs="GulliverRM"/>
          <w:sz w:val="13"/>
          <w:szCs w:val="13"/>
        </w:rPr>
      </w:pPr>
      <w:r w:rsidRPr="005C7C0B">
        <w:rPr>
          <w:rFonts w:ascii="OnemtmiguAAAA" w:eastAsia="OnemtmiguAAAA" w:cs="OnemtmiguAAAA"/>
          <w:b/>
          <w:sz w:val="13"/>
          <w:szCs w:val="13"/>
        </w:rPr>
        <w:t>_</w:t>
      </w:r>
      <w:proofErr w:type="spellStart"/>
      <w:r w:rsidRPr="005C7C0B">
        <w:rPr>
          <w:rFonts w:ascii="GulliverIT" w:eastAsia="GulliverRM" w:hAnsi="GulliverIT" w:cs="GulliverIT"/>
          <w:b/>
          <w:sz w:val="13"/>
          <w:szCs w:val="13"/>
        </w:rPr>
        <w:t>SEXP</w:t>
      </w:r>
      <w:r w:rsidRPr="005C7C0B">
        <w:rPr>
          <w:rFonts w:ascii="GulliverIT" w:eastAsia="GulliverRM" w:hAnsi="GulliverIT" w:cs="GulliverIT"/>
          <w:b/>
          <w:sz w:val="9"/>
          <w:szCs w:val="9"/>
        </w:rPr>
        <w:t>j</w:t>
      </w:r>
      <w:proofErr w:type="spellEnd"/>
      <w:r>
        <w:rPr>
          <w:rFonts w:ascii="GulliverIT" w:eastAsia="GulliverRM" w:hAnsi="GulliverIT" w:cs="GulliverIT"/>
          <w:sz w:val="9"/>
          <w:szCs w:val="9"/>
        </w:rPr>
        <w:t xml:space="preserve"> </w:t>
      </w:r>
      <w:r>
        <w:rPr>
          <w:rFonts w:ascii="GulliverRM" w:eastAsia="GulliverRM" w:cs="GulliverRM"/>
          <w:sz w:val="13"/>
          <w:szCs w:val="13"/>
        </w:rPr>
        <w:t>Quarterly changes in the Government social expenditures and subsidies relative to GDP</w:t>
      </w:r>
    </w:p>
    <w:p w:rsidR="005C7C0B" w:rsidRDefault="005C7C0B" w:rsidP="005C7C0B">
      <w:pPr>
        <w:autoSpaceDE w:val="0"/>
        <w:autoSpaceDN w:val="0"/>
        <w:adjustRightInd w:val="0"/>
        <w:spacing w:after="0" w:line="240" w:lineRule="auto"/>
        <w:rPr>
          <w:rFonts w:ascii="GulliverRM" w:eastAsia="GulliverRM" w:cs="GulliverRM"/>
          <w:sz w:val="13"/>
          <w:szCs w:val="13"/>
        </w:rPr>
      </w:pPr>
      <w:proofErr w:type="spellStart"/>
      <w:r w:rsidRPr="005C7C0B">
        <w:rPr>
          <w:rFonts w:ascii="GulliverIT" w:eastAsia="GulliverRM" w:hAnsi="GulliverIT" w:cs="GulliverIT"/>
          <w:b/>
          <w:sz w:val="13"/>
          <w:szCs w:val="13"/>
        </w:rPr>
        <w:t>GROWj</w:t>
      </w:r>
      <w:proofErr w:type="spellEnd"/>
      <w:r>
        <w:rPr>
          <w:rFonts w:ascii="GulliverIT" w:eastAsia="GulliverRM" w:hAnsi="GulliverIT" w:cs="GulliverIT"/>
          <w:sz w:val="13"/>
          <w:szCs w:val="13"/>
        </w:rPr>
        <w:t xml:space="preserve"> </w:t>
      </w:r>
      <w:r>
        <w:rPr>
          <w:rFonts w:ascii="GulliverRM" w:eastAsia="GulliverRM" w:cs="GulliverRM"/>
          <w:sz w:val="13"/>
          <w:szCs w:val="13"/>
        </w:rPr>
        <w:t>Quarterly changes of the industrial production index</w:t>
      </w:r>
    </w:p>
    <w:p w:rsidR="005C7C0B" w:rsidRDefault="005C7C0B" w:rsidP="005C7C0B">
      <w:pPr>
        <w:autoSpaceDE w:val="0"/>
        <w:autoSpaceDN w:val="0"/>
        <w:adjustRightInd w:val="0"/>
        <w:spacing w:after="0" w:line="240" w:lineRule="auto"/>
        <w:rPr>
          <w:rFonts w:ascii="GulliverRM" w:eastAsia="GulliverRM" w:cs="GulliverRM"/>
          <w:sz w:val="13"/>
          <w:szCs w:val="13"/>
        </w:rPr>
      </w:pPr>
      <w:r w:rsidRPr="005C7C0B">
        <w:rPr>
          <w:rFonts w:ascii="OnemtmiguAAAA" w:eastAsia="OnemtmiguAAAA" w:cs="OnemtmiguAAAA"/>
          <w:b/>
          <w:sz w:val="13"/>
          <w:szCs w:val="13"/>
        </w:rPr>
        <w:t>_</w:t>
      </w:r>
      <w:proofErr w:type="spellStart"/>
      <w:r w:rsidRPr="005C7C0B">
        <w:rPr>
          <w:rFonts w:ascii="GulliverIT" w:eastAsia="GulliverRM" w:hAnsi="GulliverIT" w:cs="GulliverIT"/>
          <w:b/>
          <w:sz w:val="13"/>
          <w:szCs w:val="13"/>
        </w:rPr>
        <w:t>TAX</w:t>
      </w:r>
      <w:r w:rsidRPr="005C7C0B">
        <w:rPr>
          <w:rFonts w:ascii="GulliverIT" w:eastAsia="GulliverRM" w:hAnsi="GulliverIT" w:cs="GulliverIT"/>
          <w:b/>
          <w:sz w:val="9"/>
          <w:szCs w:val="9"/>
        </w:rPr>
        <w:t>j</w:t>
      </w:r>
      <w:proofErr w:type="spellEnd"/>
      <w:r>
        <w:rPr>
          <w:rFonts w:ascii="GulliverIT" w:eastAsia="GulliverRM" w:hAnsi="GulliverIT" w:cs="GulliverIT"/>
          <w:sz w:val="9"/>
          <w:szCs w:val="9"/>
        </w:rPr>
        <w:t xml:space="preserve"> </w:t>
      </w:r>
      <w:r>
        <w:rPr>
          <w:rFonts w:ascii="GulliverRM" w:eastAsia="GulliverRM" w:cs="GulliverRM"/>
          <w:sz w:val="13"/>
          <w:szCs w:val="13"/>
        </w:rPr>
        <w:t>Quarterly changes of total Government receipts relative to GDP</w:t>
      </w:r>
    </w:p>
    <w:p w:rsidR="005C7C0B" w:rsidRDefault="005C7C0B" w:rsidP="005C7C0B">
      <w:pPr>
        <w:autoSpaceDE w:val="0"/>
        <w:autoSpaceDN w:val="0"/>
        <w:adjustRightInd w:val="0"/>
        <w:spacing w:after="0" w:line="240" w:lineRule="auto"/>
        <w:rPr>
          <w:rFonts w:ascii="GulliverRM" w:eastAsia="GulliverRM" w:cs="GulliverRM"/>
          <w:sz w:val="13"/>
          <w:szCs w:val="13"/>
        </w:rPr>
      </w:pPr>
      <w:proofErr w:type="spellStart"/>
      <w:r w:rsidRPr="005C7C0B">
        <w:rPr>
          <w:rFonts w:ascii="GulliverIT" w:eastAsia="GulliverRM" w:hAnsi="GulliverIT" w:cs="GulliverIT"/>
          <w:b/>
          <w:sz w:val="13"/>
          <w:szCs w:val="13"/>
        </w:rPr>
        <w:t>INFL</w:t>
      </w:r>
      <w:r w:rsidRPr="005C7C0B">
        <w:rPr>
          <w:rFonts w:ascii="GulliverIT" w:eastAsia="GulliverRM" w:hAnsi="GulliverIT" w:cs="GulliverIT"/>
          <w:b/>
          <w:sz w:val="9"/>
          <w:szCs w:val="9"/>
        </w:rPr>
        <w:t>j</w:t>
      </w:r>
      <w:proofErr w:type="spellEnd"/>
      <w:r>
        <w:rPr>
          <w:rFonts w:ascii="GulliverIT" w:eastAsia="GulliverRM" w:hAnsi="GulliverIT" w:cs="GulliverIT"/>
          <w:sz w:val="9"/>
          <w:szCs w:val="9"/>
        </w:rPr>
        <w:t xml:space="preserve"> </w:t>
      </w:r>
      <w:r>
        <w:rPr>
          <w:rFonts w:ascii="GulliverRM" w:eastAsia="GulliverRM" w:cs="GulliverRM"/>
          <w:sz w:val="13"/>
          <w:szCs w:val="13"/>
        </w:rPr>
        <w:t>Quarterly changes of the Harmonized Index of Consumer Prices (HICP)</w:t>
      </w:r>
      <w:r>
        <w:rPr>
          <w:rFonts w:ascii="GulliverRM" w:eastAsia="GulliverRM" w:cs="GulliverRM" w:hint="eastAsia"/>
          <w:sz w:val="13"/>
          <w:szCs w:val="13"/>
        </w:rPr>
        <w:t>—</w:t>
      </w:r>
      <w:r>
        <w:rPr>
          <w:rFonts w:ascii="GulliverRM" w:eastAsia="GulliverRM" w:cs="GulliverRM"/>
          <w:sz w:val="13"/>
          <w:szCs w:val="13"/>
        </w:rPr>
        <w:t>all items</w:t>
      </w:r>
    </w:p>
    <w:p w:rsidR="00654B73" w:rsidRDefault="005C7C0B" w:rsidP="005C7C0B">
      <w:r w:rsidRPr="005C7C0B">
        <w:rPr>
          <w:rFonts w:ascii="OnemtmiguAAAA" w:eastAsia="OnemtmiguAAAA" w:cs="OnemtmiguAAAA"/>
          <w:b/>
          <w:sz w:val="13"/>
          <w:szCs w:val="13"/>
        </w:rPr>
        <w:t>_</w:t>
      </w:r>
      <w:proofErr w:type="spellStart"/>
      <w:r w:rsidRPr="005C7C0B">
        <w:rPr>
          <w:rFonts w:ascii="GulliverIT" w:eastAsia="GulliverRM" w:hAnsi="GulliverIT" w:cs="GulliverIT"/>
          <w:b/>
          <w:sz w:val="13"/>
          <w:szCs w:val="13"/>
        </w:rPr>
        <w:t>DEF</w:t>
      </w:r>
      <w:r w:rsidRPr="005C7C0B">
        <w:rPr>
          <w:rFonts w:ascii="GulliverIT" w:eastAsia="GulliverRM" w:hAnsi="GulliverIT" w:cs="GulliverIT"/>
          <w:b/>
          <w:sz w:val="9"/>
          <w:szCs w:val="9"/>
        </w:rPr>
        <w:t>j</w:t>
      </w:r>
      <w:proofErr w:type="spellEnd"/>
      <w:r>
        <w:rPr>
          <w:rFonts w:ascii="GulliverIT" w:eastAsia="GulliverRM" w:hAnsi="GulliverIT" w:cs="GulliverIT"/>
          <w:sz w:val="9"/>
          <w:szCs w:val="9"/>
        </w:rPr>
        <w:t xml:space="preserve"> </w:t>
      </w:r>
      <w:r>
        <w:rPr>
          <w:rFonts w:ascii="GulliverRM" w:eastAsia="GulliverRM" w:cs="GulliverRM"/>
          <w:sz w:val="13"/>
          <w:szCs w:val="13"/>
        </w:rPr>
        <w:t>Quarterly changes in the current account deficit relative to GDP</w:t>
      </w:r>
    </w:p>
    <w:sectPr w:rsidR="0065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liverRM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ulliver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nemtmiguAAAA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0B"/>
    <w:rsid w:val="005C7C0B"/>
    <w:rsid w:val="009804A3"/>
    <w:rsid w:val="00CF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5F47"/>
  <w15:chartTrackingRefBased/>
  <w15:docId w15:val="{39DA1381-CAE1-471D-A2F9-C5987F3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Zenith Zhou</dc:creator>
  <cp:keywords/>
  <dc:description/>
  <cp:lastModifiedBy>Zenith Zhou</cp:lastModifiedBy>
  <cp:revision>1</cp:revision>
  <dcterms:created xsi:type="dcterms:W3CDTF">2019-02-11T20:57:00Z</dcterms:created>
  <dcterms:modified xsi:type="dcterms:W3CDTF">2019-02-11T21:01:00Z</dcterms:modified>
</cp:coreProperties>
</file>