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B3A5C"/>
          <w:sz w:val="56"/>
          <w:szCs w:val="56"/>
        </w:rPr>
        <w:t xml:space="preserve">⚓  ATMYBOAT.COM  ·  d3kOS</w:t>
      </w:r>
    </w:p>
    <w:p>
      <w:pPr>
        <w:pBdr>
          <w:bottom w:val="single" w:color="0D7377" w:sz="6" w:space="1"/>
        </w:pBdr>
        <w:spacing w:before="180" w:after="180"/>
      </w:pPr>
      <w:r>
        <w:t xml:space="preserve"/>
      </w:r>
    </w:p>
    <w:p>
      <w:pPr>
        <w:spacing w:before="100" w:after="60"/>
        <w:jc w:val="center"/>
      </w:pPr>
      <w:r>
        <w:rPr>
          <w:rFonts w:ascii="Arial" w:cs="Arial" w:eastAsia="Arial" w:hAnsi="Arial"/>
          <w:b/>
          <w:bCs/>
          <w:color w:val="D4820A"/>
          <w:sz w:val="46"/>
          <w:szCs w:val="46"/>
        </w:rPr>
        <w:t xml:space="preserve">GLOBAL COMPLIANCE FRAMEWORK</w:t>
      </w:r>
    </w:p>
    <w:p>
      <w:pPr>
        <w:spacing w:before="0" w:after="60"/>
        <w:jc w:val="center"/>
      </w:pPr>
      <w:r>
        <w:rPr>
          <w:rFonts w:ascii="Arial" w:cs="Arial" w:eastAsia="Arial" w:hAnsi="Arial"/>
          <w:color w:val="0D7377"/>
          <w:sz w:val="26"/>
          <w:szCs w:val="26"/>
        </w:rPr>
        <w:t xml:space="preserve">Privacy  ·  Accessibility  ·  Cybersecurity  ·  IoT Regulation</w:t>
      </w:r>
    </w:p>
    <w:p>
      <w:pPr>
        <w:spacing w:before="0" w:after="60"/>
        <w:jc w:val="center"/>
      </w:pPr>
      <w:r>
        <w:rPr>
          <w:rFonts w:ascii="Arial" w:cs="Arial" w:eastAsia="Arial" w:hAnsi="Arial"/>
          <w:color w:val="666666"/>
          <w:sz w:val="22"/>
          <w:szCs w:val="22"/>
        </w:rPr>
        <w:t xml:space="preserve">Canada  ·  European Union  ·  United States  ·  World Market</w:t>
      </w:r>
    </w:p>
    <w:p>
      <w:pPr>
        <w:spacing w:before="5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Document Details</w:t>
            </w:r>
          </w:p>
        </w:tc>
        <w:tc>
          <w:tcPr>
            <w:tcW w:type="dxa" w:w="6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Document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Global Compliance Framework for atmyboat.com &amp; d3kOS / n3-k1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Prepared By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Donald Moskaluk Consulting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Confidential — Internal Use &amp; Legal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Legal 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DRAFT — Not legal advice. Engage qualified counsel before reliance.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pPr>
              <w:spacing w:before="0" w:after="80"/>
            </w:pPr>
            <w:r>
              <w:rPr>
                <w:rFonts w:ascii="Arial" w:cs="Arial" w:eastAsia="Arial" w:hAnsi="Arial"/>
                <w:b/>
                <w:bCs/>
                <w:color w:val="AA0000"/>
                <w:sz w:val="22"/>
                <w:szCs w:val="22"/>
              </w:rPr>
              <w:t xml:space="preserve">⚠  Critical Disclaimer</w:t>
            </w:r>
          </w:p>
          <w:p>
            <w:pPr>
              <w:spacing w:before="0" w:after="40"/>
            </w:pPr>
            <w:r>
              <w:rPr>
                <w:rFonts w:ascii="Arial" w:cs="Arial" w:eastAsia="Arial" w:hAnsi="Arial"/>
                <w:color w:val="1A1A1A"/>
                <w:sz w:val="21"/>
                <w:szCs w:val="21"/>
              </w:rPr>
              <w:t xml:space="preserve">This document is an operational compliance guide prepared for internal planning purposes. It is NOT legal advice and does NOT constitute a legal opinion. The regulatory landscape for privacy, cybersecurity, and IoT is changing rapidly — particularly in Canada and the EU. Donald Moskaluk Consulting must engage a qualified legal counsel experienced in Canadian technology law, EU data protection, and cross-border data transfers before publishing Privacy Policies, Terms of Service, or making public compliance claims.</w:t>
            </w:r>
          </w:p>
        </w:tc>
      </w:tr>
    </w:tbl>
    <w:p>
      <w:r>
        <w:br w:type="page"/>
      </w:r>
    </w:p>
    <w:p>
      <w:pPr>
        <w:pStyle w:val="Heading1"/>
        <w:spacing w:before="480" w:after="200"/>
      </w:pPr>
      <w:r>
        <w:rPr>
          <w:rFonts w:ascii="Arial" w:cs="Arial" w:eastAsia="Arial" w:hAnsi="Arial"/>
          <w:b/>
          <w:bCs/>
          <w:color w:val="1B3A5C"/>
          <w:sz w:val="40"/>
          <w:szCs w:val="40"/>
        </w:rPr>
        <w:t xml:space="preserve">1.  Executive Summary</w:t>
      </w:r>
    </w:p>
    <w:p>
      <w:pPr>
        <w:spacing w:before="70" w:after="70"/>
      </w:pPr>
      <w:r>
        <w:rPr>
          <w:rFonts w:ascii="Arial" w:cs="Arial" w:eastAsia="Arial" w:hAnsi="Arial"/>
          <w:color w:val="1A1A1A"/>
          <w:sz w:val="22"/>
          <w:szCs w:val="22"/>
        </w:rPr>
        <w:t xml:space="preserve">atmyboat.com is a Canadian-operated platform that deploys the d3kOS marine operating system on the n3-k1 embedded hardware. The platform collects GPS telemetry, engine metrics, vessel identity, user account data, audio (voice assistant), and camera media from boats on the water. When users upgrade from T0 (standalone, private) to T1 or higher, this data transits from the vessel to cloud servers and is accessible via a web dashboard and mobile application.</w:t>
      </w:r>
    </w:p>
    <w:p>
      <w:pPr>
        <w:spacing w:before="80" w:after="0"/>
      </w:pPr>
      <w:r>
        <w:t xml:space="preserve"/>
      </w:r>
    </w:p>
    <w:p>
      <w:pPr>
        <w:spacing w:before="70" w:after="70"/>
      </w:pPr>
      <w:r>
        <w:rPr>
          <w:rFonts w:ascii="Arial" w:cs="Arial" w:eastAsia="Arial" w:hAnsi="Arial"/>
          <w:color w:val="1A1A1A"/>
          <w:sz w:val="22"/>
          <w:szCs w:val="22"/>
        </w:rPr>
        <w:t xml:space="preserve">Because the platform targets boaters across Canada, the United States, and potentially Europe and beyond, it sits at the intersection of multiple overlapping compliance regimes. This document maps each applicable framework, assesses current compliance status, identifies gaps, and provides actionable steps.</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1.1  Why Compliance Is Strategically Important for atmyboat.com</w:t>
      </w:r>
    </w:p>
    <w:p>
      <w:pPr>
        <w:pStyle w:val="ListParagraph"/>
        <w:numPr>
          <w:ilvl w:val="0"/>
          <w:numId w:val="2"/>
        </w:numPr>
        <w:spacing w:before="50" w:after="50"/>
      </w:pPr>
      <w:r>
        <w:rPr>
          <w:rFonts w:ascii="Arial" w:cs="Arial" w:eastAsia="Arial" w:hAnsi="Arial"/>
          <w:color w:val="1A1A1A"/>
          <w:sz w:val="22"/>
          <w:szCs w:val="22"/>
        </w:rPr>
        <w:t xml:space="preserve">The 45–70 year old target demographic is privacy-sensitive and trust-driven. Visibly good privacy practices are a competitive advantage, not just a legal obligation.</w:t>
      </w:r>
    </w:p>
    <w:p>
      <w:pPr>
        <w:pStyle w:val="ListParagraph"/>
        <w:numPr>
          <w:ilvl w:val="0"/>
          <w:numId w:val="2"/>
        </w:numPr>
        <w:spacing w:before="50" w:after="50"/>
      </w:pPr>
      <w:r>
        <w:rPr>
          <w:rFonts w:ascii="Arial" w:cs="Arial" w:eastAsia="Arial" w:hAnsi="Arial"/>
          <w:color w:val="1A1A1A"/>
          <w:sz w:val="22"/>
          <w:szCs w:val="22"/>
        </w:rPr>
        <w:t xml:space="preserve">The T0 tier's "100% private, no connectivity" model is a core promise. Maintaining its architectural integrity is both a marketing and legal obligation.</w:t>
      </w:r>
    </w:p>
    <w:p>
      <w:pPr>
        <w:pStyle w:val="ListParagraph"/>
        <w:numPr>
          <w:ilvl w:val="0"/>
          <w:numId w:val="2"/>
        </w:numPr>
        <w:spacing w:before="50" w:after="50"/>
      </w:pPr>
      <w:r>
        <w:rPr>
          <w:rFonts w:ascii="Arial" w:cs="Arial" w:eastAsia="Arial" w:hAnsi="Arial"/>
          <w:color w:val="1A1A1A"/>
          <w:sz w:val="22"/>
          <w:szCs w:val="22"/>
        </w:rPr>
        <w:t xml:space="preserve">Commercial data sales (B2B Marine Intelligence) make atmyboat.com a data controller and potentially a data processor — attracting the most scrutiny under privacy law.</w:t>
      </w:r>
    </w:p>
    <w:p>
      <w:pPr>
        <w:pStyle w:val="ListParagraph"/>
        <w:numPr>
          <w:ilvl w:val="0"/>
          <w:numId w:val="2"/>
        </w:numPr>
        <w:spacing w:before="50" w:after="50"/>
      </w:pPr>
      <w:r>
        <w:rPr>
          <w:rFonts w:ascii="Arial" w:cs="Arial" w:eastAsia="Arial" w:hAnsi="Arial"/>
          <w:color w:val="1A1A1A"/>
          <w:sz w:val="22"/>
          <w:szCs w:val="22"/>
        </w:rPr>
        <w:t xml:space="preserve">The n3-k1 is an IoT device that collects GPS, video, audio, and biometric-adjacent data. EU and US IoT regulations apply even if the company is based in Alberta, Canada.</w:t>
      </w:r>
    </w:p>
    <w:p>
      <w:pPr>
        <w:pStyle w:val="ListParagraph"/>
        <w:numPr>
          <w:ilvl w:val="0"/>
          <w:numId w:val="2"/>
        </w:numPr>
        <w:spacing w:before="50" w:after="50"/>
      </w:pPr>
      <w:r>
        <w:rPr>
          <w:rFonts w:ascii="Arial" w:cs="Arial" w:eastAsia="Arial" w:hAnsi="Arial"/>
          <w:color w:val="1A1A1A"/>
          <w:sz w:val="22"/>
          <w:szCs w:val="22"/>
        </w:rPr>
        <w:t xml:space="preserve">Hosting on Supabase (likely US-based) means cross-border data transfers trigger additional obligations under Canadian and EU law.</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1.2  Compliance Landscape at a Glance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600"/>
        <w:gridCol w:w="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Framework</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Jurisdiction</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Applies to atmyboat.com?</w:t>
            </w:r>
          </w:p>
        </w:tc>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 (March 2026)</w:t>
            </w:r>
          </w:p>
        </w:tc>
        <w:tc>
          <w:tcPr>
            <w:tcW w:type="dxa" w:w="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Canada — Federal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primary law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force. Bill C-27 replacement expected 2026</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Immediate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Quebec Law 25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Canada — Quebec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 — if any Quebec users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 force (fully since Sept 2024)</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Immediate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Alberta PIPA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Canada — Alberta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Alberta-based operator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force; amendments expected 2026</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GDPR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European Union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 — if any EU users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 force since 2018</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Immediate if EU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Data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European Union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IoT connected product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force Sept 2025; access-by-design Sept 2026</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 Cyber Resilience Act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European Union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 — product with digital elements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Adopted Nov 2025; phased enforcement</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AODA / WCAG 2.1 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Ontario, Canada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public-facing website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force for private sector (WCAG 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Immediate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NIST CSF 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United States (voluntary/de facto)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 — best practice IoT security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Published 2024; widely adopted</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CCPA / CPRA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California, 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if California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force</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ISO/IEC 27001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International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Best practice for B2B credibility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Voluntary standard</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Canada — Federal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email marketing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force</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Immediate</w:t>
            </w:r>
          </w:p>
        </w:tc>
      </w:tr>
    </w:tbl>
    <w:p>
      <w:r>
        <w:br w:type="page"/>
      </w:r>
    </w:p>
    <w:p>
      <w:pPr>
        <w:pStyle w:val="Heading1"/>
        <w:spacing w:before="480" w:after="200"/>
      </w:pPr>
      <w:r>
        <w:rPr>
          <w:rFonts w:ascii="Arial" w:cs="Arial" w:eastAsia="Arial" w:hAnsi="Arial"/>
          <w:b/>
          <w:bCs/>
          <w:color w:val="1B3A5C"/>
          <w:sz w:val="40"/>
          <w:szCs w:val="40"/>
        </w:rPr>
        <w:t xml:space="preserve">2.  Canadian Privacy Law</w:t>
      </w:r>
    </w:p>
    <w:p>
      <w:pPr>
        <w:pStyle w:val="Heading2"/>
        <w:spacing w:before="340" w:after="140"/>
      </w:pPr>
      <w:r>
        <w:rPr>
          <w:rFonts w:ascii="Arial" w:cs="Arial" w:eastAsia="Arial" w:hAnsi="Arial"/>
          <w:b/>
          <w:bCs/>
          <w:color w:val="0D7377"/>
          <w:sz w:val="30"/>
          <w:szCs w:val="30"/>
        </w:rPr>
        <w:t xml:space="preserve">2.1  PIPEDA — Personal Information Protection and Electronic Documents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Current Status — March 2026</w:t>
            </w:r>
          </w:p>
          <w:p>
            <w:pPr>
              <w:spacing w:before="0" w:after="40"/>
            </w:pPr>
            <w:r>
              <w:rPr>
                <w:rFonts w:ascii="Arial" w:cs="Arial" w:eastAsia="Arial" w:hAnsi="Arial"/>
                <w:color w:val="1A1A1A"/>
                <w:sz w:val="21"/>
                <w:szCs w:val="21"/>
              </w:rPr>
              <w:t xml:space="preserve">PIPEDA (federal, in force since 2001) is the governing law for private-sector organizations in Canada. Bill C-27, which would have replaced PIPEDA with the Consumer Privacy Protection Act (CPPA), died on the order paper when Parliament was prorogued in January 2025.</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A new federal privacy bill is expected to be introduced in the 45th Parliament in late 2026. Until then, PIPEDA remains the law. Canadian legal experts advise aligning to the stricter standards of Quebec Law 25 and GDPR, which are in force and set the practical benchmark.</w:t>
            </w:r>
          </w:p>
        </w:tc>
      </w:tr>
    </w:tbl>
    <w:p>
      <w:pPr>
        <w:spacing w:before="120" w:after="0"/>
      </w:pPr>
      <w:r>
        <w:t xml:space="preserve"/>
      </w:r>
    </w:p>
    <w:p>
      <w:pPr>
        <w:spacing w:before="240" w:after="100"/>
      </w:pPr>
      <w:r>
        <w:rPr>
          <w:rFonts w:ascii="Arial" w:cs="Arial" w:eastAsia="Arial" w:hAnsi="Arial"/>
          <w:b/>
          <w:bCs/>
          <w:color w:val="D4820A"/>
          <w:sz w:val="24"/>
          <w:szCs w:val="24"/>
        </w:rPr>
        <w:t xml:space="preserve">What PIPEDA Requires of atmyboat.com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Principle</w:t>
            </w:r>
          </w:p>
        </w:tc>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4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atmyboat.com Application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Designate a Privacy Officer; implement a privacy management program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Skipper Don = Privacy Officer. Needs formal written privacy program.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Identifying Purposes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State clearly why each piece of data is collected BEFORE collecting it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Consent screen and Privacy Policy must itemise: account, telemetry, Marine Vision, Helm AI, commercial sharing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Meaningful, informed consent. Opt-in for sensitive 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Registration consent checkbox per purpose. T0 = no consent needed (no data collected).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Limiting Collection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Collect only what is necessary for the stated purpose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Telemetry schema must justify each field collected. Remove fields not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Limiting Use, Disclosure, Retention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Data used only for stated purpose. Defined retention periods.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Retention schedule must be published. See Section 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Accuracy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must be reasonably accurate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Users must be able to update their information.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Safeguards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Appropriate security measures for the sensitivity of 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NIST CSF 2.0 compliance covers this. See Section 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Openness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Published Privacy Policy accessible to all users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Public /privacy page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Individual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Users can access their personal data on request; respond within 30 days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Settings must have data export. 30-day response SLA.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Challenging Compliance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Users can challenge compliance with the OPC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/contact page must include Privacy Officer contact.</w:t>
            </w:r>
          </w:p>
        </w:tc>
      </w:tr>
    </w:tbl>
    <w:p>
      <w:pPr>
        <w:spacing w:before="120" w:after="0"/>
      </w:pPr>
      <w:r>
        <w:t xml:space="preserve"/>
      </w:r>
    </w:p>
    <w:p>
      <w:pPr>
        <w:spacing w:before="240" w:after="100"/>
      </w:pPr>
      <w:r>
        <w:rPr>
          <w:rFonts w:ascii="Arial" w:cs="Arial" w:eastAsia="Arial" w:hAnsi="Arial"/>
          <w:b/>
          <w:bCs/>
          <w:color w:val="D4820A"/>
          <w:sz w:val="24"/>
          <w:szCs w:val="24"/>
        </w:rPr>
        <w:t xml:space="preserve">PIPEDA and the B2B Marine Intelligence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Commercial Data Sales — Key PIPEDA Risk</w:t>
            </w:r>
          </w:p>
          <w:p>
            <w:pPr>
              <w:spacing w:before="0" w:after="40"/>
            </w:pPr>
            <w:r>
              <w:rPr>
                <w:rFonts w:ascii="Arial" w:cs="Arial" w:eastAsia="Arial" w:hAnsi="Arial"/>
                <w:color w:val="1A1A1A"/>
                <w:sz w:val="21"/>
                <w:szCs w:val="21"/>
              </w:rPr>
              <w:t xml:space="preserve">Selling anonymised telemetry data to third parties (insurers, manufacturers, researchers) is permissible under PIPEDA IF:</w:t>
            </w:r>
          </w:p>
          <w:p>
            <w:pPr>
              <w:spacing w:before="0" w:after="40"/>
            </w:pPr>
            <w:r>
              <w:rPr>
                <w:rFonts w:ascii="Arial" w:cs="Arial" w:eastAsia="Arial" w:hAnsi="Arial"/>
                <w:color w:val="1A1A1A"/>
                <w:sz w:val="21"/>
                <w:szCs w:val="21"/>
              </w:rPr>
              <w:t xml:space="preserve">  1. Users have given meaningful, explicit consent to their data being used for this purpose.</w:t>
            </w:r>
          </w:p>
          <w:p>
            <w:pPr>
              <w:spacing w:before="0" w:after="40"/>
            </w:pPr>
            <w:r>
              <w:rPr>
                <w:rFonts w:ascii="Arial" w:cs="Arial" w:eastAsia="Arial" w:hAnsi="Arial"/>
                <w:color w:val="1A1A1A"/>
                <w:sz w:val="21"/>
                <w:szCs w:val="21"/>
              </w:rPr>
              <w:t xml:space="preserve">  2. The data is genuinely anonymised — no re-identification risk. Pseudonymised data (where re-identification is possible) does NOT count as anonymous.</w:t>
            </w:r>
          </w:p>
          <w:p>
            <w:pPr>
              <w:spacing w:before="0" w:after="40"/>
            </w:pPr>
            <w:r>
              <w:rPr>
                <w:rFonts w:ascii="Arial" w:cs="Arial" w:eastAsia="Arial" w:hAnsi="Arial"/>
                <w:color w:val="1A1A1A"/>
                <w:sz w:val="21"/>
                <w:szCs w:val="21"/>
              </w:rPr>
              <w:t xml:space="preserve">  3. The Privacy Policy clearly describes this use at the time of consent.</w:t>
            </w:r>
          </w:p>
          <w:p>
            <w:pPr>
              <w:spacing w:before="0" w:after="40"/>
            </w:pPr>
            <w:r>
              <w:rPr>
                <w:rFonts w:ascii="Arial" w:cs="Arial" w:eastAsia="Arial" w:hAnsi="Arial"/>
                <w:color w:val="1A1A1A"/>
                <w:sz w:val="21"/>
                <w:szCs w:val="21"/>
              </w:rPr>
              <w:t xml:space="preserve">Note: The OPC has taken an increasingly strict view of what constitutes genuine anonymisation. Legal counsel should review the anonymisation methodology before any commercial data sales begin.</w:t>
            </w:r>
          </w:p>
        </w:tc>
      </w:tr>
    </w:tbl>
    <w:p>
      <w:pPr>
        <w:spacing w:before="120" w:after="0"/>
      </w:pPr>
      <w:r>
        <w:t xml:space="preserve"/>
      </w:r>
    </w:p>
    <w:p>
      <w:pPr>
        <w:spacing w:before="240" w:after="100"/>
      </w:pPr>
      <w:r>
        <w:rPr>
          <w:rFonts w:ascii="Arial" w:cs="Arial" w:eastAsia="Arial" w:hAnsi="Arial"/>
          <w:b/>
          <w:bCs/>
          <w:color w:val="D4820A"/>
          <w:sz w:val="24"/>
          <w:szCs w:val="24"/>
        </w:rPr>
        <w:t xml:space="preserve">Breach Notification (PIPEDA Mandatory)</w:t>
      </w:r>
    </w:p>
    <w:p>
      <w:pPr>
        <w:pStyle w:val="ListParagraph"/>
        <w:numPr>
          <w:ilvl w:val="0"/>
          <w:numId w:val="2"/>
        </w:numPr>
        <w:spacing w:before="50" w:after="50"/>
      </w:pPr>
      <w:r>
        <w:rPr>
          <w:rFonts w:ascii="Arial" w:cs="Arial" w:eastAsia="Arial" w:hAnsi="Arial"/>
          <w:color w:val="1A1A1A"/>
          <w:sz w:val="22"/>
          <w:szCs w:val="22"/>
        </w:rPr>
        <w:t xml:space="preserve">Under PIPEDA, you MUST notify the OPC and affected individuals of any breach that poses a "real risk of significant harm."</w:t>
      </w:r>
    </w:p>
    <w:p>
      <w:pPr>
        <w:pStyle w:val="ListParagraph"/>
        <w:numPr>
          <w:ilvl w:val="0"/>
          <w:numId w:val="2"/>
        </w:numPr>
        <w:spacing w:before="50" w:after="50"/>
      </w:pPr>
      <w:r>
        <w:rPr>
          <w:rFonts w:ascii="Arial" w:cs="Arial" w:eastAsia="Arial" w:hAnsi="Arial"/>
          <w:color w:val="1A1A1A"/>
          <w:sz w:val="22"/>
          <w:szCs w:val="22"/>
        </w:rPr>
        <w:t xml:space="preserve">Notification to individuals must be "as soon as feasible" — industry practice is within 72 hours of confirming a breach.</w:t>
      </w:r>
    </w:p>
    <w:p>
      <w:pPr>
        <w:pStyle w:val="ListParagraph"/>
        <w:numPr>
          <w:ilvl w:val="0"/>
          <w:numId w:val="2"/>
        </w:numPr>
        <w:spacing w:before="50" w:after="50"/>
      </w:pPr>
      <w:r>
        <w:rPr>
          <w:rFonts w:ascii="Arial" w:cs="Arial" w:eastAsia="Arial" w:hAnsi="Arial"/>
          <w:color w:val="1A1A1A"/>
          <w:sz w:val="22"/>
          <w:szCs w:val="22"/>
        </w:rPr>
        <w:t xml:space="preserve">Keep a breach log for a minimum of 24 months — this is legally required.</w:t>
      </w:r>
    </w:p>
    <w:p>
      <w:pPr>
        <w:pStyle w:val="ListParagraph"/>
        <w:numPr>
          <w:ilvl w:val="0"/>
          <w:numId w:val="2"/>
        </w:numPr>
        <w:spacing w:before="50" w:after="50"/>
      </w:pPr>
      <w:r>
        <w:rPr>
          <w:rFonts w:ascii="Arial" w:cs="Arial" w:eastAsia="Arial" w:hAnsi="Arial"/>
          <w:color w:val="1A1A1A"/>
          <w:sz w:val="22"/>
          <w:szCs w:val="22"/>
        </w:rPr>
        <w:t xml:space="preserve">Supabase as your cloud host: your contract must establish a data processor agreement and breach notification obligation from Supabase to you within 24 hours.</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2.2  Quebec Law 25 — Act Respecting the Protection of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Stronger Than PIPEDA — Fully in Force September 2024</w:t>
            </w:r>
          </w:p>
          <w:p>
            <w:pPr>
              <w:spacing w:before="0" w:after="40"/>
            </w:pPr>
            <w:r>
              <w:rPr>
                <w:rFonts w:ascii="Arial" w:cs="Arial" w:eastAsia="Arial" w:hAnsi="Arial"/>
                <w:color w:val="1A1A1A"/>
                <w:sz w:val="21"/>
                <w:szCs w:val="21"/>
              </w:rPr>
              <w:t xml:space="preserve">Quebec's Law 25 is Canada's strictest privacy law — often described as Canada's GDPR. It applies to any organisation that collects, uses, or communicates the personal information of Quebec residents, regardless of where the organisation is incorporated. If any of your users are Quebec residents, Law 25 applies to you.</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Law 25 Requirement</w:t>
            </w:r>
          </w:p>
        </w:tc>
        <w:tc>
          <w:tcPr>
            <w:tcW w:type="dxa" w:w="6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Means for atmyboat.com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by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 settings must maximise privacy. T0 as default IS compliant. T1 requires active user 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Privacy Impact Assessments (PIAs)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before launching technology projects that touch personal data. Do a PIA before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Data Minimisation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Stricter than PIPEDA. Collect only what is strictly necessary.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Right to Erasure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Users can demand deletion of all personal data. Must be honoured.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to Data Portability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Users can request their data in a structured, machine-readable format.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Explicit Consent for Sensitive 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GPS history and camera footage may be considered sensitive. Explicit opt-in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Officer Registration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Must be publicly identifiable. Name and contact on website.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Breach Notification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72-hour notification to Commission d'accès à l'information (CAI) + affected individuals.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Third-Party Contracts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Written contracts with Supabase and any B2B data purchasers specifying their privacy obligations.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Cross-Border Transfer Assessment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Before sending data outside Quebec (e.g., to Supabase US servers), must complete a privacy impact assessment.</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2.3  Alberta PIPA — Personal Information Protection Act</w:t>
      </w:r>
    </w:p>
    <w:p>
      <w:pPr>
        <w:spacing w:before="70" w:after="70"/>
      </w:pPr>
      <w:r>
        <w:rPr>
          <w:rFonts w:ascii="Arial" w:cs="Arial" w:eastAsia="Arial" w:hAnsi="Arial"/>
          <w:color w:val="1A1A1A"/>
          <w:sz w:val="22"/>
          <w:szCs w:val="22"/>
        </w:rPr>
        <w:t xml:space="preserve">Alberta has its own private-sector privacy law (PIPA), which applies because Donald Moskaluk Consulting is incorporated and headquartered in Alberta. PIPA principles are broadly similar to PIPEDA but with some differences. Alberta's legislative review committee completed its report in February 2025, recommending significant amendments including:</w:t>
      </w:r>
    </w:p>
    <w:p>
      <w:pPr>
        <w:pStyle w:val="ListParagraph"/>
        <w:numPr>
          <w:ilvl w:val="0"/>
          <w:numId w:val="2"/>
        </w:numPr>
        <w:spacing w:before="50" w:after="50"/>
      </w:pPr>
      <w:r>
        <w:rPr>
          <w:rFonts w:ascii="Arial" w:cs="Arial" w:eastAsia="Arial" w:hAnsi="Arial"/>
          <w:color w:val="1A1A1A"/>
          <w:sz w:val="22"/>
          <w:szCs w:val="22"/>
        </w:rPr>
        <w:t xml:space="preserve">Specific obligations regarding children's privacy</w:t>
      </w:r>
    </w:p>
    <w:p>
      <w:pPr>
        <w:pStyle w:val="ListParagraph"/>
        <w:numPr>
          <w:ilvl w:val="0"/>
          <w:numId w:val="2"/>
        </w:numPr>
        <w:spacing w:before="50" w:after="50"/>
      </w:pPr>
      <w:r>
        <w:rPr>
          <w:rFonts w:ascii="Arial" w:cs="Arial" w:eastAsia="Arial" w:hAnsi="Arial"/>
          <w:color w:val="1A1A1A"/>
          <w:sz w:val="22"/>
          <w:szCs w:val="22"/>
        </w:rPr>
        <w:t xml:space="preserve">A new penalty-based enforcement regime</w:t>
      </w:r>
    </w:p>
    <w:p>
      <w:pPr>
        <w:pStyle w:val="ListParagraph"/>
        <w:numPr>
          <w:ilvl w:val="0"/>
          <w:numId w:val="2"/>
        </w:numPr>
        <w:spacing w:before="50" w:after="50"/>
      </w:pPr>
      <w:r>
        <w:rPr>
          <w:rFonts w:ascii="Arial" w:cs="Arial" w:eastAsia="Arial" w:hAnsi="Arial"/>
          <w:color w:val="1A1A1A"/>
          <w:sz w:val="22"/>
          <w:szCs w:val="22"/>
        </w:rPr>
        <w:t xml:space="preserve">Clearer rules around de-identified and anonymised data</w:t>
      </w:r>
    </w:p>
    <w:p>
      <w:pPr>
        <w:spacing w:before="70" w:after="70"/>
      </w:pPr>
      <w:r>
        <w:rPr>
          <w:rFonts w:ascii="Arial" w:cs="Arial" w:eastAsia="Arial" w:hAnsi="Arial"/>
          <w:color w:val="1A1A1A"/>
          <w:sz w:val="22"/>
          <w:szCs w:val="22"/>
        </w:rPr>
        <w:t xml:space="preserve">These amendments are expected to be tabled in 2026. Aligning to Law 25 and GDPR standards now will ensure Alberta PIPA compliance when amendments pass.</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2.4  CASL — Canada's Anti-Spam Legislation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Applies to All Marketing Emails</w:t>
            </w:r>
          </w:p>
          <w:p>
            <w:pPr>
              <w:spacing w:before="0" w:after="40"/>
            </w:pPr>
            <w:r>
              <w:rPr>
                <w:rFonts w:ascii="Arial" w:cs="Arial" w:eastAsia="Arial" w:hAnsi="Arial"/>
                <w:color w:val="1A1A1A"/>
                <w:sz w:val="21"/>
                <w:szCs w:val="21"/>
              </w:rPr>
              <w:t xml:space="preserve">CASL applies to all commercial electronic messages (CEMs) sent from or to Canadian electronic addresses. Violations carry fines up to $10 million per violation for organisations.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CASL Requirement</w:t>
            </w:r>
          </w:p>
        </w:tc>
        <w:tc>
          <w:tcPr>
            <w:tcW w:type="dxa" w:w="6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atmyboat.com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Express consent required for marketing emails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Newsletter signup must be an explicit opt-in checkbox — not pre-checked.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Unsubscribe mechanism in every CEM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Every Captain's Log email must include a working unsubscribe 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Identity disclosure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Sender name and mailing address must be in every marketing email.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Transactional emails are exempt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confirmations, feature request updates, alert notifications = not CEMs. No consent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Implied consent window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a user purchases T2/T3, you have implied consent for 2 years. After that, need express consent.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Record keeping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Keep consent records (timestamp, IP, checkbox state) for every subscriber. Supabase logs this.</w:t>
            </w:r>
          </w:p>
        </w:tc>
      </w:tr>
    </w:tbl>
    <w:p>
      <w:r>
        <w:br w:type="page"/>
      </w:r>
    </w:p>
    <w:p>
      <w:pPr>
        <w:pStyle w:val="Heading1"/>
        <w:spacing w:before="480" w:after="200"/>
      </w:pPr>
      <w:r>
        <w:rPr>
          <w:rFonts w:ascii="Arial" w:cs="Arial" w:eastAsia="Arial" w:hAnsi="Arial"/>
          <w:b/>
          <w:bCs/>
          <w:color w:val="1B3A5C"/>
          <w:sz w:val="40"/>
          <w:szCs w:val="40"/>
        </w:rPr>
        <w:t xml:space="preserve">3.  European Union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EU Extraterritorial Reach</w:t>
            </w:r>
          </w:p>
          <w:p>
            <w:pPr>
              <w:spacing w:before="0" w:after="40"/>
            </w:pPr>
            <w:r>
              <w:rPr>
                <w:rFonts w:ascii="Arial" w:cs="Arial" w:eastAsia="Arial" w:hAnsi="Arial"/>
                <w:color w:val="1A1A1A"/>
                <w:sz w:val="21"/>
                <w:szCs w:val="21"/>
              </w:rPr>
              <w:t xml:space="preserve">All three major EU frameworks (GDPR, Data Act, Cyber Resilience Act) have extraterritorial reach. They apply to any organisation that offers goods or services to EU residents, or that monitors the behaviour of EU residents — regardless of where the company is based. If even one EU boater uses d3kOS, these rules apply to you.</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3.1  GDPR — General Data Protection Regulation</w:t>
      </w:r>
    </w:p>
    <w:p>
      <w:pPr>
        <w:spacing w:before="70" w:after="70"/>
      </w:pPr>
      <w:r>
        <w:rPr>
          <w:rFonts w:ascii="Arial" w:cs="Arial" w:eastAsia="Arial" w:hAnsi="Arial"/>
          <w:color w:val="1A1A1A"/>
          <w:sz w:val="22"/>
          <w:szCs w:val="22"/>
        </w:rPr>
        <w:t xml:space="preserve">GDPR is the EU's flagship privacy law, in force since May 2018. Canada currently holds EU 'adequacy' status (meaning EU data can flow to Canada without additional safeguards) — but this adequacy decision may be re-examined if Canada does not modernise federal privacy law. Maintaining GDPR-grade practices protects this relationship.</w:t>
      </w:r>
    </w:p>
    <w:p>
      <w:pPr>
        <w:spacing w:before="120" w:after="0"/>
      </w:pPr>
      <w:r>
        <w:t xml:space="preserve"/>
      </w:r>
    </w:p>
    <w:p>
      <w:pPr>
        <w:spacing w:before="240" w:after="100"/>
      </w:pPr>
      <w:r>
        <w:rPr>
          <w:rFonts w:ascii="Arial" w:cs="Arial" w:eastAsia="Arial" w:hAnsi="Arial"/>
          <w:b/>
          <w:bCs/>
          <w:color w:val="D4820A"/>
          <w:sz w:val="24"/>
          <w:szCs w:val="24"/>
        </w:rPr>
        <w:t xml:space="preserve">GDPR Lawful Bases for d3kOS Data Processing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Lawful Basis</w:t>
            </w:r>
          </w:p>
        </w:tc>
        <w:tc>
          <w:tcPr>
            <w:tcW w:type="dxa" w:w="4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registration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Contract (Art. 6(1)(b))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Processing necessary to provide the service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GPS and telemetry (T1+)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Consent (Art. 6(1)(a))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be freely given, specific, informed, unambiguous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Voice assistant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Consent (Art. 6(1)(a))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Audio data = sensitive; explicit consent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Camera / Marine Vision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Consent (Art. 6(1)(a))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Video data on/near vessels may capture third parties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data sharing (B2B)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Consent (Art. 6(1)(a))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Separate, specific consent required — cannot bundle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Alert notifications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Legitimate Interest (Art. 6(1)(f))</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Safety-related notifications; user benefit 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Analytics (aggregated)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Legitimate Interest (Art. 6(1)(f))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Must not override individual rights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T0 — no data transmitted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EU personal data processed. No GDPR obligation.</w:t>
            </w:r>
          </w:p>
        </w:tc>
      </w:tr>
    </w:tbl>
    <w:p>
      <w:pPr>
        <w:spacing w:before="120" w:after="0"/>
      </w:pPr>
      <w:r>
        <w:t xml:space="preserve"/>
      </w:r>
    </w:p>
    <w:p>
      <w:pPr>
        <w:spacing w:before="240" w:after="100"/>
      </w:pPr>
      <w:r>
        <w:rPr>
          <w:rFonts w:ascii="Arial" w:cs="Arial" w:eastAsia="Arial" w:hAnsi="Arial"/>
          <w:b/>
          <w:bCs/>
          <w:color w:val="D4820A"/>
          <w:sz w:val="24"/>
          <w:szCs w:val="24"/>
        </w:rPr>
        <w:t xml:space="preserve">GDPR Individual Rights — Implementation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Right</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GDPR Article</w:t>
            </w:r>
          </w:p>
        </w:tc>
        <w:tc>
          <w:tcPr>
            <w:tcW w:type="dxa" w:w="5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 for atmyboat.com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of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 15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Dashboard → Account Settings → Download My Data (export all personal data as JSON/CSV)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Right to Rectification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Art. 16</w:t>
            </w:r>
          </w:p>
        </w:tc>
        <w:tc>
          <w:tcPr>
            <w:tcW w:type="dxa" w:w="5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Settings → Edit Profile (all fields editable)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to Erasure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 17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Settings → Delete Account → 30-day full purge. Anonymised aggregate data is NOT erased (Art. 17(3)).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Right to Restriction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Art. 18</w:t>
            </w:r>
          </w:p>
        </w:tc>
        <w:tc>
          <w:tcPr>
            <w:tcW w:type="dxa" w:w="5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Pause data processing on request while a dispute is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to Portability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 20</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Export in machine-readable format (JSON). Applies to T1+ data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Right to Object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Art. 21</w:t>
            </w:r>
          </w:p>
        </w:tc>
        <w:tc>
          <w:tcPr>
            <w:tcW w:type="dxa" w:w="5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Users can object to legitimate interest processing (analytics). Must offer opt-out.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Rights re: Automated Decisions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 22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AI engine anomaly alerts are automated. Must disclose and allow human review.</w:t>
            </w:r>
          </w:p>
        </w:tc>
      </w:tr>
    </w:tbl>
    <w:p>
      <w:pPr>
        <w:spacing w:before="120" w:after="0"/>
      </w:pPr>
      <w:r>
        <w:t xml:space="preserve"/>
      </w:r>
    </w:p>
    <w:p>
      <w:pPr>
        <w:spacing w:before="240" w:after="100"/>
      </w:pPr>
      <w:r>
        <w:rPr>
          <w:rFonts w:ascii="Arial" w:cs="Arial" w:eastAsia="Arial" w:hAnsi="Arial"/>
          <w:b/>
          <w:bCs/>
          <w:color w:val="D4820A"/>
          <w:sz w:val="24"/>
          <w:szCs w:val="24"/>
        </w:rPr>
        <w:t xml:space="preserve">Cross-Border Data Transfers (GDPR Chapter V)</w:t>
      </w:r>
    </w:p>
    <w:p>
      <w:pPr>
        <w:pStyle w:val="ListParagraph"/>
        <w:numPr>
          <w:ilvl w:val="0"/>
          <w:numId w:val="2"/>
        </w:numPr>
        <w:spacing w:before="50" w:after="50"/>
      </w:pPr>
      <w:r>
        <w:rPr>
          <w:rFonts w:ascii="Arial" w:cs="Arial" w:eastAsia="Arial" w:hAnsi="Arial"/>
          <w:color w:val="1A1A1A"/>
          <w:sz w:val="22"/>
          <w:szCs w:val="22"/>
        </w:rPr>
        <w:t xml:space="preserve">Supabase is a US-based company. Data stored on Supabase US servers = a cross-border transfer from the EU to the US.</w:t>
      </w:r>
    </w:p>
    <w:p>
      <w:pPr>
        <w:pStyle w:val="ListParagraph"/>
        <w:numPr>
          <w:ilvl w:val="0"/>
          <w:numId w:val="2"/>
        </w:numPr>
        <w:spacing w:before="50" w:after="50"/>
      </w:pPr>
      <w:r>
        <w:rPr>
          <w:rFonts w:ascii="Arial" w:cs="Arial" w:eastAsia="Arial" w:hAnsi="Arial"/>
          <w:color w:val="1A1A1A"/>
          <w:sz w:val="22"/>
          <w:szCs w:val="22"/>
        </w:rPr>
        <w:t xml:space="preserve">Canada has EU adequacy status — Canadian-based processing of EU data is permitted.</w:t>
      </w:r>
    </w:p>
    <w:p>
      <w:pPr>
        <w:pStyle w:val="ListParagraph"/>
        <w:numPr>
          <w:ilvl w:val="0"/>
          <w:numId w:val="2"/>
        </w:numPr>
        <w:spacing w:before="50" w:after="50"/>
      </w:pPr>
      <w:r>
        <w:rPr>
          <w:rFonts w:ascii="Arial" w:cs="Arial" w:eastAsia="Arial" w:hAnsi="Arial"/>
          <w:color w:val="1A1A1A"/>
          <w:sz w:val="22"/>
          <w:szCs w:val="22"/>
        </w:rPr>
        <w:t xml:space="preserve">However: if Supabase servers are in the US (not Canada), you must check whether Supabase participates in EU-US Data Privacy Framework (DPF) or has executed Standard Contractual Clauses (SCCs).</w:t>
      </w:r>
    </w:p>
    <w:p>
      <w:pPr>
        <w:pStyle w:val="ListParagraph"/>
        <w:numPr>
          <w:ilvl w:val="0"/>
          <w:numId w:val="2"/>
        </w:numPr>
        <w:spacing w:before="50" w:after="50"/>
      </w:pPr>
      <w:r>
        <w:rPr>
          <w:rFonts w:ascii="Arial" w:cs="Arial" w:eastAsia="Arial" w:hAnsi="Arial"/>
          <w:color w:val="1A1A1A"/>
          <w:sz w:val="22"/>
          <w:szCs w:val="22"/>
        </w:rPr>
        <w:t xml:space="preserve">Action: Check Supabase's current DPA (Data Processing Agreement). Request confirmation of data residency and legal transfer mechanism.</w:t>
      </w:r>
    </w:p>
    <w:p>
      <w:pPr>
        <w:pStyle w:val="ListParagraph"/>
        <w:numPr>
          <w:ilvl w:val="0"/>
          <w:numId w:val="2"/>
        </w:numPr>
        <w:spacing w:before="50" w:after="50"/>
      </w:pPr>
      <w:r>
        <w:rPr>
          <w:rFonts w:ascii="Arial" w:cs="Arial" w:eastAsia="Arial" w:hAnsi="Arial"/>
          <w:color w:val="1A1A1A"/>
          <w:sz w:val="22"/>
          <w:szCs w:val="22"/>
        </w:rPr>
        <w:t xml:space="preserve">Option: Supabase supports self-hosting — consider deploying on Canadian cloud infrastructure (e.g., AWS ca-central-1 or Azure Canada Central) to eliminate the cross-border transfer issue entirely.</w:t>
      </w:r>
    </w:p>
    <w:p>
      <w:pPr>
        <w:spacing w:before="120" w:after="0"/>
      </w:pPr>
      <w:r>
        <w:t xml:space="preserve"/>
      </w:r>
    </w:p>
    <w:p>
      <w:pPr>
        <w:spacing w:before="240" w:after="100"/>
      </w:pPr>
      <w:r>
        <w:rPr>
          <w:rFonts w:ascii="Arial" w:cs="Arial" w:eastAsia="Arial" w:hAnsi="Arial"/>
          <w:b/>
          <w:bCs/>
          <w:color w:val="D4820A"/>
          <w:sz w:val="24"/>
          <w:szCs w:val="24"/>
        </w:rPr>
        <w:t xml:space="preserve">GDPR Breach Notification</w:t>
      </w:r>
    </w:p>
    <w:p>
      <w:pPr>
        <w:pStyle w:val="ListParagraph"/>
        <w:numPr>
          <w:ilvl w:val="0"/>
          <w:numId w:val="2"/>
        </w:numPr>
        <w:spacing w:before="50" w:after="50"/>
      </w:pPr>
      <w:r>
        <w:rPr>
          <w:rFonts w:ascii="Arial" w:cs="Arial" w:eastAsia="Arial" w:hAnsi="Arial"/>
          <w:color w:val="1A1A1A"/>
          <w:sz w:val="22"/>
          <w:szCs w:val="22"/>
        </w:rPr>
        <w:t xml:space="preserve">Notify EU supervisory authority within 72 hours of becoming aware of a breach (Art. 33)</w:t>
      </w:r>
    </w:p>
    <w:p>
      <w:pPr>
        <w:pStyle w:val="ListParagraph"/>
        <w:numPr>
          <w:ilvl w:val="0"/>
          <w:numId w:val="2"/>
        </w:numPr>
        <w:spacing w:before="50" w:after="50"/>
      </w:pPr>
      <w:r>
        <w:rPr>
          <w:rFonts w:ascii="Arial" w:cs="Arial" w:eastAsia="Arial" w:hAnsi="Arial"/>
          <w:color w:val="1A1A1A"/>
          <w:sz w:val="22"/>
          <w:szCs w:val="22"/>
        </w:rPr>
        <w:t xml:space="preserve">Notify affected EU individuals "without undue delay" if high risk (Art. 34)</w:t>
      </w:r>
    </w:p>
    <w:p>
      <w:pPr>
        <w:pStyle w:val="ListParagraph"/>
        <w:numPr>
          <w:ilvl w:val="0"/>
          <w:numId w:val="2"/>
        </w:numPr>
        <w:spacing w:before="50" w:after="50"/>
      </w:pPr>
      <w:r>
        <w:rPr>
          <w:rFonts w:ascii="Arial" w:cs="Arial" w:eastAsia="Arial" w:hAnsi="Arial"/>
          <w:color w:val="1A1A1A"/>
          <w:sz w:val="22"/>
          <w:szCs w:val="22"/>
        </w:rPr>
        <w:t xml:space="preserve">EU Representative: If marketing to EU residents, must appoint a legal representative in the EU (Art. 27). A small law firm or registered agent in an EU member state suffices for small businesses.</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3.2  EU Data Act — Regulation (EU) 2023/2854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New in 2025 — Directly Applicable to n3-k1</w:t>
            </w:r>
          </w:p>
          <w:p>
            <w:pPr>
              <w:spacing w:before="0" w:after="40"/>
            </w:pPr>
            <w:r>
              <w:rPr>
                <w:rFonts w:ascii="Arial" w:cs="Arial" w:eastAsia="Arial" w:hAnsi="Arial"/>
                <w:color w:val="1A1A1A"/>
                <w:sz w:val="21"/>
                <w:szCs w:val="21"/>
              </w:rPr>
              <w:t xml:space="preserve">The EU Data Act came into force January 2024. Main requirements for connected products took effect 12 September 2025. Additional access-by-design obligations apply from 12 September 2026.</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The n3-k1 is a "connected product" within the scope of the Data Act — it is a tangible, movable device that generates and communicates data about its use and environment. If you sell or market n3-k1 to EU residents, Data Act compliance is mandatory.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Data Act Obligation</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When</w:t>
            </w:r>
          </w:p>
        </w:tc>
        <w:tc>
          <w:tcPr>
            <w:tcW w:type="dxa" w:w="5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atmyboat.com Must 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 data access — right to access device-generated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Sept 12, 2025 (now)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T1+ users must be able to access all data their n3-k1 generates, in real time or near-real time. The web dashboard satisfies this if all telemetry fields are exposed.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access by design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Sept 12, 2026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New n3-k1 hardware must be designed so users can "directly, securely, and freely" obtain their device data. The existing web dashboard / API architecture likely satisfies this if data export is implemented.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Third-party data sharing on user 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Sept 12, 2025 (now)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a user asks you to share their data with a third party (e.g., their insurance company), you must facilitate this. Not currently implemented.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 legal representative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Sept 12, 2025 (now)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If marketing in the EU, must appoint an EU legal representative. Same requirement as GDPR Art. 27.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Trade secrets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Sept 12, 2025 (now)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B2B Marine Intelligence derived data may be protectable as trade secrets under Data Act safeguards. Document your methodology.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Interoperability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Sept 12, 2026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APIs for data access must be standardised and interoperable. Signal K is already an open standard — document this.</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3.3  EU Cyber Resilience Act (CRA) — Regulation (EU) 2024/2847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Adopted November 28, 2025 — Products with Digital Elements</w:t>
            </w:r>
          </w:p>
          <w:p>
            <w:pPr>
              <w:spacing w:before="0" w:after="40"/>
            </w:pPr>
            <w:r>
              <w:rPr>
                <w:rFonts w:ascii="Arial" w:cs="Arial" w:eastAsia="Arial" w:hAnsi="Arial"/>
                <w:color w:val="1A1A1A"/>
                <w:sz w:val="21"/>
                <w:szCs w:val="21"/>
              </w:rPr>
              <w:t xml:space="preserve">The CRA applies to any product with digital elements placed on the EU market, including hardware and software. The n3-k1 + d3kOS meets the definition of a "product with digital elements" (PDE). Most IoT consumer devices fall in the default/lowest-risk category under the CRA implementing regulation.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CRA Obligation</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Means for n3-k1 / d3kOS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Security by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 (all PDEs)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Security measures built into product design. T0's offline architecture is strong evidence of this.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known exploitable vulnerabilities at launch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Default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unpatched CVEs in shipped firmware. Must monitor Signal K, Node-RED, Raspberry Pi OS, OpenCPN for security updates.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Secure default configurations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 passwords must not be trivially guessable. The current 'pi' keyring password is a risk — must be changed during onboarding.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Access control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Default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Authentication required for all web-exposed interfaces. Supabase RLS satisfies cloud side; local ports must be LAN-only.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Minimal attack surface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Disable unused ports and services. Document what is exposed and why.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OTA security updates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Default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Security patches must be deliverable. The OTA update system (Section 7 of integration spec) satisfies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Vulnerability disclosure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Publish a coordinated vulnerability disclosure policy. Add /security page or security.txt file.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Support period declaration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Default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Declare how long the n3-k1 will receive security updates. Minimum 5 years recommended.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Conformity assessment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Important/Critical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n3-k1 likely 'default' risk category — self-assessment permitted, no third-party audit required.</w:t>
            </w:r>
          </w:p>
        </w:tc>
      </w:tr>
    </w:tbl>
    <w:p>
      <w:pPr>
        <w:spacing w:before="120" w:after="0"/>
      </w:pPr>
      <w:r>
        <w:t xml:space="preserve"/>
      </w:r>
    </w:p>
    <w:p>
      <w:pPr>
        <w:spacing w:before="70" w:after="70"/>
      </w:pPr>
      <w:r>
        <w:rPr>
          <w:rFonts w:ascii="Arial" w:cs="Arial" w:eastAsia="Arial" w:hAnsi="Arial"/>
          <w:color w:val="1A1A1A"/>
          <w:sz w:val="22"/>
          <w:szCs w:val="22"/>
        </w:rPr>
        <w:t xml:space="preserve">Action: Add a security.txt file at https://atmyboat.com/.well-known/security.txt with a contact email for responsible vulnerability disclosure.</w:t>
      </w:r>
    </w:p>
    <w:p>
      <w:r>
        <w:br w:type="page"/>
      </w:r>
    </w:p>
    <w:p>
      <w:pPr>
        <w:pStyle w:val="Heading1"/>
        <w:spacing w:before="480" w:after="200"/>
      </w:pPr>
      <w:r>
        <w:rPr>
          <w:rFonts w:ascii="Arial" w:cs="Arial" w:eastAsia="Arial" w:hAnsi="Arial"/>
          <w:b/>
          <w:bCs/>
          <w:color w:val="1B3A5C"/>
          <w:sz w:val="40"/>
          <w:szCs w:val="40"/>
        </w:rPr>
        <w:t xml:space="preserve">4.  Accessibility — AODA &amp; WCAG 2.1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Why Accessibility Is Both Legal and Strategic for atmyboat.com</w:t>
            </w:r>
          </w:p>
          <w:p>
            <w:pPr>
              <w:spacing w:before="0" w:after="40"/>
            </w:pPr>
            <w:r>
              <w:rPr>
                <w:rFonts w:ascii="Arial" w:cs="Arial" w:eastAsia="Arial" w:hAnsi="Arial"/>
                <w:color w:val="1A1A1A"/>
                <w:sz w:val="21"/>
                <w:szCs w:val="21"/>
              </w:rPr>
              <w:t xml:space="preserve">The Accessibility for Ontarians with Disabilities Act (AODA) requires Ontario-based private-sector organisations to meet web accessibility standards. Beyond legal compliance, atmyboat.com's target demographic of 45–70 year old boaters has elevated rates of age-related visual, motor, and cognitive impairments. Excellent accessibility is directly aligned with serving your audience well.</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4.1  AODA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Standard</w:t>
            </w:r>
          </w:p>
        </w:tc>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Deadline</w:t>
            </w:r>
          </w:p>
        </w:tc>
        <w:tc>
          <w:tcPr>
            <w:tcW w:type="dxa" w:w="2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 for Private Sector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WCAG 2.0 Level 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Integrated Accessibility Standards Regulation (IASR)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2014 (large org) / 2021 (small org)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 all private sector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WCAG 2.0 Level AA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IASR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2021 (large org) / 2021 (small org)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Required — all private sector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WCAG 2.1 Level 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Expected next update to IASR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Anticipated 2025–2027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 to this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Accessible documents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IASR s.14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Ongoing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PDFs, Word docs must be accessible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Feedback mechanism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IASR s.11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Ongoing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Accessible way to receive and respond to feedback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Note on Scope</w:t>
            </w:r>
          </w:p>
          <w:p>
            <w:pPr>
              <w:spacing w:before="0" w:after="40"/>
            </w:pPr>
            <w:r>
              <w:rPr>
                <w:rFonts w:ascii="Arial" w:cs="Arial" w:eastAsia="Arial" w:hAnsi="Arial"/>
                <w:color w:val="1A1A1A"/>
                <w:sz w:val="21"/>
                <w:szCs w:val="21"/>
              </w:rPr>
              <w:t xml:space="preserve">AODA applies specifically to Ontario. However, WCAG 2.1 AA is rapidly becoming the de facto international web accessibility standard, referenced by US Section 508, EU Web Accessibility Directive, and UK Equality Act 2010. Building to WCAG 2.1 AA satisfies all of these simultaneously.</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4.2  WCAG 2.1 AA — Four Principles (POUR)</w:t>
      </w:r>
    </w:p>
    <w:p>
      <w:pPr>
        <w:spacing w:before="240" w:after="100"/>
      </w:pPr>
      <w:r>
        <w:rPr>
          <w:rFonts w:ascii="Arial" w:cs="Arial" w:eastAsia="Arial" w:hAnsi="Arial"/>
          <w:b/>
          <w:bCs/>
          <w:color w:val="D4820A"/>
          <w:sz w:val="24"/>
          <w:szCs w:val="24"/>
        </w:rPr>
        <w:t xml:space="preserve">1. Perceivable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Criterion</w:t>
            </w:r>
          </w:p>
        </w:tc>
        <w:tc>
          <w:tcPr>
            <w:tcW w:type="dxa" w:w="5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 for atmyboat.com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Text Alternatives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1.1.1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Every image, icon, and gauge must have descriptive alt text. Engine gauge image: alt="Engine RPM gauge reading 2,200 RPM"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Captions for Video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1.2.2 (A)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Marine Vision video uploads viewed in dashboard must have auto-generated captions (or manual). Hero landing page video must have captions or text alternative.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Colour not sole means of 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1.4.1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Alerts (green/amber/red) must also use icons + text labels, not colour alone. Critical for colour-blind users.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Contrast Ratio — Normal 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1.4.3 (AA)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Minimum 4.5:1 contrast. White (#FFFFFF) on Teal (#0D7377) = 4.6:1 ✓. Check all text/background combos.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Contrast Ratio — Large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1.4.3 (AA)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Minimum 3:1 for 18pt+ or 14pt+ bold 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Text Resize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1.4.4 (AA)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Content must be readable at 200% zoom without horizontal scrolling. Fluid/responsive layout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1.4.10 (AA) — WCAG 2.1 NEW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Content must not require horizontal scrolling at 320px width. Test on small phone screens.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Non-Text Contrast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1.4.11 (AA) — WCAG 2.1 NEW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UI components (buttons, inputs, gauge borders) must have 3:1 contrast against adjacent colour.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Text Spacing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1.4.12 (AA) — WCAG 2.1 NEW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When users override text spacing (1.5× line height, 2× letter spacing), content must not be lost or clipped.</w:t>
            </w:r>
          </w:p>
        </w:tc>
      </w:tr>
    </w:tbl>
    <w:p>
      <w:pPr>
        <w:spacing w:before="120" w:after="0"/>
      </w:pPr>
      <w:r>
        <w:t xml:space="preserve"/>
      </w:r>
    </w:p>
    <w:p>
      <w:pPr>
        <w:spacing w:before="240" w:after="100"/>
      </w:pPr>
      <w:r>
        <w:rPr>
          <w:rFonts w:ascii="Arial" w:cs="Arial" w:eastAsia="Arial" w:hAnsi="Arial"/>
          <w:b/>
          <w:bCs/>
          <w:color w:val="D4820A"/>
          <w:sz w:val="24"/>
          <w:szCs w:val="24"/>
        </w:rPr>
        <w:t xml:space="preserve">2. Operable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Criterion</w:t>
            </w:r>
          </w:p>
        </w:tc>
        <w:tc>
          <w:tcPr>
            <w:tcW w:type="dxa" w:w="5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 for atmyboat.com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Keyboard Navigable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2.1.1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Entire website navigable by keyboard alone. Tab through all interactive elements. Modal dialogs trap focus correctly.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Keyboard Trap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2.1.2 (A)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Keyboard focus cannot be locked in a component (e.g., the AI First Mate chat widget must be closeable by keyboard).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Focus Indicator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2.4.7 (AA)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Visible focus outline on all interactive elements. The CSS outline: none or outline: 0 is forbidden.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Touch Target Size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2.5.5 (AAA — but required for d3kOS)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Minimum 44×44px touch targets for all interactive elements on mobile. The d3kOS spec already uses 120×80px — maintain this on web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Pointer Cancellation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2.5.2 (A) — WCAG 2.1 NEW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 single-pointer actions (tap), the action should complete on pointer up, not down. Prevents accidental activations.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Motion Actuation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2.5.4 (A) — WCAG 2.1 NEW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If any functionality uses device motion (shake, tilt), it must also be operable by other means, and motion can be disabled.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Page Titles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Every page must have a descriptive &lt;title&gt; tag. e.g., "Boat Log — The Chart Room | AtMyBoat"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Skip Navigation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2.4.1 (A)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Add "Skip to main content" link as first focusable element on each page.</w:t>
            </w:r>
          </w:p>
        </w:tc>
      </w:tr>
    </w:tbl>
    <w:p>
      <w:pPr>
        <w:spacing w:before="120" w:after="0"/>
      </w:pPr>
      <w:r>
        <w:t xml:space="preserve"/>
      </w:r>
    </w:p>
    <w:p>
      <w:pPr>
        <w:spacing w:before="240" w:after="100"/>
      </w:pPr>
      <w:r>
        <w:rPr>
          <w:rFonts w:ascii="Arial" w:cs="Arial" w:eastAsia="Arial" w:hAnsi="Arial"/>
          <w:b/>
          <w:bCs/>
          <w:color w:val="D4820A"/>
          <w:sz w:val="24"/>
          <w:szCs w:val="24"/>
        </w:rPr>
        <w:t xml:space="preserve">3. Understandable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Criterion</w:t>
            </w:r>
          </w:p>
        </w:tc>
        <w:tc>
          <w:tcPr>
            <w:tcW w:type="dxa" w:w="5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 for atmyboat.com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Language of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3.1.1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&lt;html lang="en"&gt; (or "fr" for French pages). Required for screen readers to use correct pronunciation.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Error Identification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3.3.1 (A)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Form errors must be described in text, not just with a red border. "Email address is required" not just a red outline.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Labels or Instructions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3.3.2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form inputs have visible labels. Placeholders alone are not sufficient.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Error Suggestion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3.3.3 (AA)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Error messages should suggest how to fix them. "Email must include @" not just "Invalid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Consistent Navigation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3.2.3 (AA)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Navigation must appear in the same location on every page. The AI First Mate widget must be consistently positioned.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Plain Language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Best practice — no WCAG criterion but critical for your demographic</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Avoid technical jargon in user-facing copy. Nautical metaphors are great; tech acronyms are not.</w:t>
            </w:r>
          </w:p>
        </w:tc>
      </w:tr>
    </w:tbl>
    <w:p>
      <w:pPr>
        <w:spacing w:before="120" w:after="0"/>
      </w:pPr>
      <w:r>
        <w:t xml:space="preserve"/>
      </w:r>
    </w:p>
    <w:p>
      <w:pPr>
        <w:spacing w:before="240" w:after="100"/>
      </w:pPr>
      <w:r>
        <w:rPr>
          <w:rFonts w:ascii="Arial" w:cs="Arial" w:eastAsia="Arial" w:hAnsi="Arial"/>
          <w:b/>
          <w:bCs/>
          <w:color w:val="D4820A"/>
          <w:sz w:val="24"/>
          <w:szCs w:val="24"/>
        </w:rPr>
        <w:t xml:space="preserve">4. Robust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Criterion</w:t>
            </w:r>
          </w:p>
        </w:tc>
        <w:tc>
          <w:tcPr>
            <w:tcW w:type="dxa" w:w="5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 for atmyboat.com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Valid HTML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4.1.1 (A)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duplicate IDs, proper nesting, all tags closed. Validate with W3C HTML Validator.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Name, Role, Value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4.1.2 (A)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UI components must expose name, role, and state to accessibility APIs. Use semantic HTML (nav, main, header, button) + ARIA only where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Status 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4.1.3 (AA) — WCAG 2.1 NEW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System status messages ('Data saved', 'Alert sent') must be programmatically determinable — use ARIA live regions so screen readers announce them.</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4.3  Dashboard-Specific Accessibility Requirements (Matching d3kOS)</w:t>
      </w:r>
    </w:p>
    <w:p>
      <w:pPr>
        <w:spacing w:before="70" w:after="70"/>
      </w:pPr>
      <w:r>
        <w:rPr>
          <w:rFonts w:ascii="Arial" w:cs="Arial" w:eastAsia="Arial" w:hAnsi="Arial"/>
          <w:color w:val="1A1A1A"/>
          <w:sz w:val="22"/>
          <w:szCs w:val="22"/>
        </w:rPr>
        <w:t xml:space="preserve">The d3kOS on-device dashboard specifies: black background, green/amber/red status colours, 22px minimum font, 120×80px touch targets. The web dashboard should mirror this for consistency and because these specs exceed WCAG minimums.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d3kOS Spec</w:t>
            </w:r>
          </w:p>
        </w:tc>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WCAG Requirement</w:t>
            </w:r>
          </w:p>
        </w:tc>
        <w:tc>
          <w:tcPr>
            <w:tcW w:type="dxa" w:w="4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Compliance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22px minimum font size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14pt (18.67px) for large text contrast exception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Exceeds minimum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120×80px minimum touch targets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44×44px minimum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Significantly exceeds minimum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Black (#0A0A0A) background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Must verify contrast of all text/UI elements against this background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Green (#00CC00) on black (#0A0A0A)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4.5:1 required for normal text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Ratio: 5.5:1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Amber (#FFA500) on black (#0A0A0A)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4.5:1 required for normal 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Ratio: 11.3:1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Red (#FF0000) on black (#0A0A0A)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4.5:1 required for normal text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Ratio: 5.3:1 — passes AA, check at smaller sizes</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4.4  AODA Accessibility Statement (Required)</w:t>
      </w:r>
    </w:p>
    <w:p>
      <w:pPr>
        <w:spacing w:before="70" w:after="70"/>
      </w:pPr>
      <w:r>
        <w:rPr>
          <w:rFonts w:ascii="Arial" w:cs="Arial" w:eastAsia="Arial" w:hAnsi="Arial"/>
          <w:color w:val="1A1A1A"/>
          <w:sz w:val="22"/>
          <w:szCs w:val="22"/>
        </w:rPr>
        <w:t xml:space="preserve">Publish an Accessibility Statement at /accessibility. It must include:</w:t>
      </w:r>
    </w:p>
    <w:p>
      <w:pPr>
        <w:pStyle w:val="ListParagraph"/>
        <w:numPr>
          <w:ilvl w:val="0"/>
          <w:numId w:val="2"/>
        </w:numPr>
        <w:spacing w:before="50" w:after="50"/>
      </w:pPr>
      <w:r>
        <w:rPr>
          <w:rFonts w:ascii="Arial" w:cs="Arial" w:eastAsia="Arial" w:hAnsi="Arial"/>
          <w:color w:val="1A1A1A"/>
          <w:sz w:val="22"/>
          <w:szCs w:val="22"/>
        </w:rPr>
        <w:t xml:space="preserve">Standard: WCAG 2.1 Level AA</w:t>
      </w:r>
    </w:p>
    <w:p>
      <w:pPr>
        <w:pStyle w:val="ListParagraph"/>
        <w:numPr>
          <w:ilvl w:val="0"/>
          <w:numId w:val="2"/>
        </w:numPr>
        <w:spacing w:before="50" w:after="50"/>
      </w:pPr>
      <w:r>
        <w:rPr>
          <w:rFonts w:ascii="Arial" w:cs="Arial" w:eastAsia="Arial" w:hAnsi="Arial"/>
          <w:color w:val="1A1A1A"/>
          <w:sz w:val="22"/>
          <w:szCs w:val="22"/>
        </w:rPr>
        <w:t xml:space="preserve">Known limitations and planned remediation</w:t>
      </w:r>
    </w:p>
    <w:p>
      <w:pPr>
        <w:pStyle w:val="ListParagraph"/>
        <w:numPr>
          <w:ilvl w:val="0"/>
          <w:numId w:val="2"/>
        </w:numPr>
        <w:spacing w:before="50" w:after="50"/>
      </w:pPr>
      <w:r>
        <w:rPr>
          <w:rFonts w:ascii="Arial" w:cs="Arial" w:eastAsia="Arial" w:hAnsi="Arial"/>
          <w:color w:val="1A1A1A"/>
          <w:sz w:val="22"/>
          <w:szCs w:val="22"/>
        </w:rPr>
        <w:t xml:space="preserve">Date of last accessibility review</w:t>
      </w:r>
    </w:p>
    <w:p>
      <w:pPr>
        <w:pStyle w:val="ListParagraph"/>
        <w:numPr>
          <w:ilvl w:val="0"/>
          <w:numId w:val="2"/>
        </w:numPr>
        <w:spacing w:before="50" w:after="50"/>
      </w:pPr>
      <w:r>
        <w:rPr>
          <w:rFonts w:ascii="Arial" w:cs="Arial" w:eastAsia="Arial" w:hAnsi="Arial"/>
          <w:color w:val="1A1A1A"/>
          <w:sz w:val="22"/>
          <w:szCs w:val="22"/>
        </w:rPr>
        <w:t xml:space="preserve">Contact for accessibility feedback: accessibility@atmyboat.com</w:t>
      </w:r>
    </w:p>
    <w:p>
      <w:pPr>
        <w:pStyle w:val="ListParagraph"/>
        <w:numPr>
          <w:ilvl w:val="0"/>
          <w:numId w:val="2"/>
        </w:numPr>
        <w:spacing w:before="50" w:after="50"/>
      </w:pPr>
      <w:r>
        <w:rPr>
          <w:rFonts w:ascii="Arial" w:cs="Arial" w:eastAsia="Arial" w:hAnsi="Arial"/>
          <w:color w:val="1A1A1A"/>
          <w:sz w:val="22"/>
          <w:szCs w:val="22"/>
        </w:rPr>
        <w:t xml:space="preserve">Link to Ontario's Accessibility Directorate (required under AODA)</w:t>
      </w:r>
    </w:p>
    <w:p>
      <w:r>
        <w:br w:type="page"/>
      </w:r>
    </w:p>
    <w:p>
      <w:pPr>
        <w:pStyle w:val="Heading1"/>
        <w:spacing w:before="480" w:after="200"/>
      </w:pPr>
      <w:r>
        <w:rPr>
          <w:rFonts w:ascii="Arial" w:cs="Arial" w:eastAsia="Arial" w:hAnsi="Arial"/>
          <w:b/>
          <w:bCs/>
          <w:color w:val="1B3A5C"/>
          <w:sz w:val="40"/>
          <w:szCs w:val="40"/>
        </w:rPr>
        <w:t xml:space="preserve">5.  NIST Cybersecurity Framework 2.0 &amp; IoT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NIST CSF 2.0 — Published February 2024</w:t>
            </w:r>
          </w:p>
          <w:p>
            <w:pPr>
              <w:spacing w:before="0" w:after="40"/>
            </w:pPr>
            <w:r>
              <w:rPr>
                <w:rFonts w:ascii="Arial" w:cs="Arial" w:eastAsia="Arial" w:hAnsi="Arial"/>
                <w:color w:val="1A1A1A"/>
                <w:sz w:val="21"/>
                <w:szCs w:val="21"/>
              </w:rPr>
              <w:t xml:space="preserve">The NIST Cybersecurity Framework 2.0 is the US gold standard for cybersecurity risk management. It is voluntary in the US but is widely adopted globally as a benchmark, including in Canada and the EU. For atmyboat.com, NIST CSF 2.0 provides the operational cybersecurity framework that satisfies the security requirements of PIPEDA, Law 25, GDPR, EU CRA, and CASL simultaneously.</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5.1  NIST CSF 2.0 — Six Functions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2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Means</w:t>
            </w:r>
          </w:p>
        </w:tc>
        <w:tc>
          <w:tcPr>
            <w:tcW w:type="dxa" w:w="6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Actions for atmyboat.com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GOVERN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 cybersecurity strategy, roles, policies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Officer = Cybersecurity Lead. Write an Information Security Policy. Annual review.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IDENTIFY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Know your assets, risks, and data flows</w:t>
            </w:r>
          </w:p>
        </w:tc>
        <w:tc>
          <w:tcPr>
            <w:tcW w:type="dxa" w:w="6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Asset inventory: n3-k1 devices, Supabase tables, Cloudflare, Stripe, Resend, Claude API. Data flow diagram.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Safeguards to prevent and limit impact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Encryption at rest and in transit. Access controls. NIST IR 8259A device hardening for n3-k1.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DETECT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Identify cybersecurity events</w:t>
            </w:r>
          </w:p>
        </w:tc>
        <w:tc>
          <w:tcPr>
            <w:tcW w:type="dxa" w:w="6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Supabase anomaly alerts. Failed login monitoring. Unusual telemetry push volumes. SIEM-lite via log aggregation.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RESPOND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 on detected incidents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Incident Response Plan. Breach notification runbook (72 hours). Communication templates.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RECOVER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Restore capabilities after incidents</w:t>
            </w:r>
          </w:p>
        </w:tc>
        <w:tc>
          <w:tcPr>
            <w:tcW w:type="dxa" w:w="6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Supabase automated backups. Restore testing. Business continuity plan.</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5.2  NIST IR 8259A — IoT Device Cybersecurity Baseline</w:t>
      </w:r>
    </w:p>
    <w:p>
      <w:pPr>
        <w:spacing w:before="70" w:after="70"/>
      </w:pPr>
      <w:r>
        <w:rPr>
          <w:rFonts w:ascii="Arial" w:cs="Arial" w:eastAsia="Arial" w:hAnsi="Arial"/>
          <w:color w:val="1A1A1A"/>
          <w:sz w:val="22"/>
          <w:szCs w:val="22"/>
        </w:rPr>
        <w:t xml:space="preserve">NIST IR 8259A (updated via IR 8563, April 2025) defines baseline cybersecurity capabilities that IoT devices should have. These are directly applicable to the n3-k1 hardware.</w:t>
      </w:r>
    </w:p>
    <w:p>
      <w:pPr>
        <w:spacing w:before="120" w:after="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Requirement</w:t>
            </w:r>
          </w:p>
        </w:tc>
        <w:tc>
          <w:tcPr>
            <w:tcW w:type="dxa" w:w="5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n3-k1 / d3kOS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Device Identification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Unique, non-spoofable device identity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Installation ID (SHA-256 hex) provides this. Must be non-changeable.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Device Configuration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Authorised personnel can change software configuration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T1 registration + device API key provides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Data Protection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Protect data at rest and in transit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Data in transit: HTTPS ✓. Data at rest on SD card: unencrypted ✗. Encrypt cloud-credentials.json.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Logical Access to Interfaces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Only authorised users can use device interfaces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Local web UI (ports 8084–8101) accessible on LAN without auth. Must add authentication or bind to 127.0.0.1.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Software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software securely, authenticated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Current: manual re-flash. Required: OTA with SHA-256 verification (in integration spec).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Cybersecurity State Awareness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Detect and respond to anomalies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Self-healing system monitors CPU, memory, services. Needs cloud alert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Event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Log security-relevant events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Partial. Node-RED logs exist. Need structured security event logging.</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5.3  Specific Security Actions Required</w:t>
      </w:r>
    </w:p>
    <w:p>
      <w:pPr>
        <w:spacing w:before="240" w:after="100"/>
      </w:pPr>
      <w:r>
        <w:rPr>
          <w:rFonts w:ascii="Arial" w:cs="Arial" w:eastAsia="Arial" w:hAnsi="Arial"/>
          <w:b/>
          <w:bCs/>
          <w:color w:val="D4820A"/>
          <w:sz w:val="24"/>
          <w:szCs w:val="24"/>
        </w:rPr>
        <w:t xml:space="preserve">n3-k1 Hardware (d3kOS)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Issue</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Risk</w:t>
            </w:r>
          </w:p>
        </w:tc>
        <w:tc>
          <w:tcPr>
            <w:tcW w:type="dxa" w:w="3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Remediation</w:t>
            </w:r>
          </w:p>
        </w:tc>
        <w:tc>
          <w:tcPr>
            <w:tcW w:type="dxa" w:w="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Default keyring password is 'pi'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Known default credential — trivial to exploit on marina WiFi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Force password change during onboarding wizard (Step 1 before any other config)</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Critical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Local API ports bound to LAN (0.0.0.0)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Any device on same WiFi network can call local APIs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Bind to 127.0.0.1 (localhost) except where LAN access is required by design</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Critical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SD card data unencrypted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SD card is stolen, cloud-credentials.json and all local logs are readable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Encrypt cloud-credentials.json with GPG. Evaluate full-disk encryption (performance impact on Pi).</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vulnerability disclosure policy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Security researchers have no way to report issues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Add security.txt + /security page + security@atmyboat.com email</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SSH may be enabled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Unnecessary remote access vector on marina WiFi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Disable SSH in production image. Enable only via physical Settings menu toggle.</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BCM WiFi hotspot limitation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Users may connect to insecure open marina WiFi to get connectivity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Warn users in FAQ and onboarding about connecting to open WiFi risks. Consider VPN documentation.</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Medium</w:t>
            </w:r>
          </w:p>
        </w:tc>
      </w:tr>
    </w:tbl>
    <w:p>
      <w:pPr>
        <w:spacing w:before="120" w:after="0"/>
      </w:pPr>
      <w:r>
        <w:t xml:space="preserve"/>
      </w:r>
    </w:p>
    <w:p>
      <w:pPr>
        <w:spacing w:before="240" w:after="100"/>
      </w:pPr>
      <w:r>
        <w:rPr>
          <w:rFonts w:ascii="Arial" w:cs="Arial" w:eastAsia="Arial" w:hAnsi="Arial"/>
          <w:b/>
          <w:bCs/>
          <w:color w:val="D4820A"/>
          <w:sz w:val="24"/>
          <w:szCs w:val="24"/>
        </w:rPr>
        <w:t xml:space="preserve">atmyboat.com Web Platform</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600"/>
        <w:gridCol w:w="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Risk</w:t>
            </w:r>
          </w:p>
        </w:tc>
        <w:tc>
          <w:tcPr>
            <w:tcW w:type="dxa" w:w="3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Remediation</w:t>
            </w:r>
          </w:p>
        </w:tc>
        <w:tc>
          <w:tcPr>
            <w:tcW w:type="dxa" w:w="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Supabase API key in client-side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Anon key is semi-public; must be treated carefully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Enable Supabase RLS on all tables. Anon key can only read/write what RLS permits.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Stripe webhook endpoint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Must validate Stripe signature to prevent spoofed webhooks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Validate Stripe-Signature header on every webhook. Built into Stripe SDK.</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Claude API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Must not be exposed client-side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API key must be server-side only. Use Next.js API routes as proxy.</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Device API keys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 push telemetry to any boat_id if not scoped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Supabase RLS: device API key can only INSERT to its own boat_id.</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Password 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Weak passwords on T1+ accounts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Enforce: min 8 chars, 1 uppercase, 1 number. Offer MFA (Supabase supports TOTP).</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Session management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Session tokens must expire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Supabase JWT tokens: set 1-hour expiry + refresh token rotation.</w:t>
            </w:r>
          </w:p>
        </w:tc>
        <w:tc>
          <w:tcPr>
            <w:tcW w:type="dxa" w:w="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HTTPS enforcement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pages must be HTTPS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Cloudflare: enforce HTTPS redirect. HSTS header on all responses.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Critical</w:t>
            </w:r>
          </w:p>
        </w:tc>
      </w:tr>
    </w:tbl>
    <w:p>
      <w:r>
        <w:br w:type="page"/>
      </w:r>
    </w:p>
    <w:p>
      <w:pPr>
        <w:pStyle w:val="Heading1"/>
        <w:spacing w:before="480" w:after="200"/>
      </w:pPr>
      <w:r>
        <w:rPr>
          <w:rFonts w:ascii="Arial" w:cs="Arial" w:eastAsia="Arial" w:hAnsi="Arial"/>
          <w:b/>
          <w:bCs/>
          <w:color w:val="1B3A5C"/>
          <w:sz w:val="40"/>
          <w:szCs w:val="40"/>
        </w:rPr>
        <w:t xml:space="preserve">6.  United States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US Privacy Law — A Patchwork</w:t>
            </w:r>
          </w:p>
          <w:p>
            <w:pPr>
              <w:spacing w:before="0" w:after="40"/>
            </w:pPr>
            <w:r>
              <w:rPr>
                <w:rFonts w:ascii="Arial" w:cs="Arial" w:eastAsia="Arial" w:hAnsi="Arial"/>
                <w:color w:val="1A1A1A"/>
                <w:sz w:val="21"/>
                <w:szCs w:val="21"/>
              </w:rPr>
              <w:t xml:space="preserve">Unlike Canada and the EU, the United States has no single federal privacy law. Instead, there is a patchwork of state laws, with California's CCPA/CPRA being the most significant. If you have US users, you need to address US state privacy laws, particularly California.</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6.1  California Consumer Privacy Act / California Privacy Rights Act (CCPA/CPRA)</w:t>
      </w:r>
    </w:p>
    <w:p>
      <w:pPr>
        <w:spacing w:before="70" w:after="70"/>
      </w:pPr>
      <w:r>
        <w:rPr>
          <w:rFonts w:ascii="Arial" w:cs="Arial" w:eastAsia="Arial" w:hAnsi="Arial"/>
          <w:color w:val="1A1A1A"/>
          <w:sz w:val="22"/>
          <w:szCs w:val="22"/>
        </w:rPr>
        <w:t xml:space="preserve">CCPA (2018) + CPRA amendments (fully in force 2023) apply to businesses that: (a) have over $25M annual gross revenue, OR (b) buy/sell/receive/share personal information of 100,000+ consumers annually, OR (c) derive 50%+ of revenue from selling consumers' personal information.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CCPA Applicability to atmyboat.com</w:t>
            </w:r>
          </w:p>
          <w:p>
            <w:pPr>
              <w:spacing w:before="0" w:after="40"/>
            </w:pPr>
            <w:r>
              <w:rPr>
                <w:rFonts w:ascii="Arial" w:cs="Arial" w:eastAsia="Arial" w:hAnsi="Arial"/>
                <w:color w:val="1A1A1A"/>
                <w:sz w:val="21"/>
                <w:szCs w:val="21"/>
              </w:rPr>
              <w:t xml:space="preserve">At launch, atmyboat.com likely does not meet the $25M revenue threshold. However:</w:t>
            </w:r>
          </w:p>
          <w:p>
            <w:pPr>
              <w:spacing w:before="0" w:after="40"/>
            </w:pPr>
            <w:r>
              <w:rPr>
                <w:rFonts w:ascii="Arial" w:cs="Arial" w:eastAsia="Arial" w:hAnsi="Arial"/>
                <w:color w:val="1A1A1A"/>
                <w:sz w:val="21"/>
                <w:szCs w:val="21"/>
              </w:rPr>
              <w:t xml:space="preserve">  • The B2B Marine Intelligence data sales product involves "selling" personal information (even if anonymised, CCPA's definition is broad).</w:t>
            </w:r>
          </w:p>
          <w:p>
            <w:pPr>
              <w:spacing w:before="0" w:after="40"/>
            </w:pPr>
            <w:r>
              <w:rPr>
                <w:rFonts w:ascii="Arial" w:cs="Arial" w:eastAsia="Arial" w:hAnsi="Arial"/>
                <w:color w:val="1A1A1A"/>
                <w:sz w:val="21"/>
                <w:szCs w:val="21"/>
              </w:rPr>
              <w:t xml:space="preserve">  • If successful, revenue thresholds could be crossed.</w:t>
            </w:r>
          </w:p>
          <w:p>
            <w:pPr>
              <w:spacing w:before="0" w:after="40"/>
            </w:pPr>
            <w:r>
              <w:rPr>
                <w:rFonts w:ascii="Arial" w:cs="Arial" w:eastAsia="Arial" w:hAnsi="Arial"/>
                <w:color w:val="1A1A1A"/>
                <w:sz w:val="21"/>
                <w:szCs w:val="21"/>
              </w:rPr>
              <w:t xml:space="preserve">  • Build CCPA-compliant practices now — the marginal effort above GDPR compliance is small.</w:t>
            </w:r>
          </w:p>
        </w:tc>
      </w:tr>
    </w:tbl>
    <w:p>
      <w:pPr>
        <w:spacing w:before="120" w:after="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CCPA/CPRA Right</w:t>
            </w:r>
          </w:p>
        </w:tc>
        <w:tc>
          <w:tcPr>
            <w:tcW w:type="dxa" w:w="7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to Know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Users can request what personal data is collected and how it's used. Satisfied by the Privacy Policy and Dashboard → Download My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Right to Delete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Users can request deletion. Satisfied by Account Settings → Delete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to Opt-Out of Sale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Must add "Do Not Sell or Share My Personal Information" link if selling/sharing data. Add to footer.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Right to Non-Discrimination</w:t>
            </w:r>
          </w:p>
        </w:tc>
        <w:tc>
          <w:tcPr>
            <w:tcW w:type="dxa" w:w="7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Cannot deny service or charge more for exercising privacy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to Correct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Users can correct inaccurate personal data. Satisfied by Account Settings.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Right to Limit Sensitive Data Use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Sensitive data (GPS, audio, camera) must have restricted use options. The "Go Private" toggle satisfies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Notice at Collection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At time of data collection, must disclose categories and purposes. Satisfied by registration consent flow.</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6.2  Other US State Laws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000"/>
        <w:gridCol w:w="2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Law</w:t>
            </w:r>
          </w:p>
        </w:tc>
        <w:tc>
          <w:tcPr>
            <w:tcW w:type="dxa" w:w="4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Requirement</w:t>
            </w:r>
          </w:p>
        </w:tc>
        <w:tc>
          <w:tcPr>
            <w:tcW w:type="dxa" w:w="2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Threshold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Virginia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VCDPA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Similar to CCPA. Controller/Processor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100K consumers/yr or 25K+ if data revenue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Colorado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CPA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Opt-out required for targeted advertising and sale of data.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100K consumers/yr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Connecticut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CTDPA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Similar to CCPA/VCDPA.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100K consumers/yr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Texas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TDPSA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protection assessment required.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Processes personal data of 100K+ Texans/yr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Washington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My Health MY Data Act (MHMDA)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Broad definition of health data — GPS + physical activity data may qualify.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company</w:t>
            </w:r>
          </w:p>
        </w:tc>
      </w:tr>
    </w:tbl>
    <w:p>
      <w:pPr>
        <w:spacing w:before="120" w:after="0"/>
      </w:pPr>
      <w:r>
        <w:t xml:space="preserve"/>
      </w:r>
    </w:p>
    <w:p>
      <w:pPr>
        <w:spacing w:before="70" w:after="70"/>
      </w:pPr>
      <w:r>
        <w:rPr>
          <w:rFonts w:ascii="Arial" w:cs="Arial" w:eastAsia="Arial" w:hAnsi="Arial"/>
          <w:color w:val="1A1A1A"/>
          <w:sz w:val="22"/>
          <w:szCs w:val="22"/>
        </w:rPr>
        <w:t xml:space="preserve">Practical guidance: implement GDPR-level practices and they cover the substance of all US state laws. The main addition is the "Do Not Sell" opt-out link.</w:t>
      </w:r>
    </w:p>
    <w:p>
      <w:r>
        <w:br w:type="page"/>
      </w:r>
    </w:p>
    <w:p>
      <w:pPr>
        <w:pStyle w:val="Heading1"/>
        <w:spacing w:before="480" w:after="200"/>
      </w:pPr>
      <w:r>
        <w:rPr>
          <w:rFonts w:ascii="Arial" w:cs="Arial" w:eastAsia="Arial" w:hAnsi="Arial"/>
          <w:b/>
          <w:bCs/>
          <w:color w:val="1B3A5C"/>
          <w:sz w:val="40"/>
          <w:szCs w:val="40"/>
        </w:rPr>
        <w:t xml:space="preserve">7.  Data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Why a Defined Retention Schedule is Legally Required</w:t>
            </w:r>
          </w:p>
          <w:p>
            <w:pPr>
              <w:spacing w:before="0" w:after="40"/>
            </w:pPr>
            <w:r>
              <w:rPr>
                <w:rFonts w:ascii="Arial" w:cs="Arial" w:eastAsia="Arial" w:hAnsi="Arial"/>
                <w:color w:val="1A1A1A"/>
                <w:sz w:val="21"/>
                <w:szCs w:val="21"/>
              </w:rPr>
              <w:t xml:space="preserve">PIPEDA, Law 25, and GDPR all require data to be retained only as long as necessary for the stated purpose. Publishing and adhering to a specific retention schedule is a legal obligation, not a suggestion. The schedule below must be built into the Supabase database as automated cleanup jobs.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Data Category</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T0</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T1</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T2</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T3</w:t>
            </w:r>
          </w:p>
        </w:tc>
        <w:tc>
          <w:tcPr>
            <w:tcW w:type="dxa" w:w="21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After Account Deletion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(name, email, home 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 — no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Until deletion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Until deletion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Until deletion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GPS telemetry events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Never transmitted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36 months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Engine metric 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Never transmitted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Voyage logs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Local 30 days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lifetime + 3 yrs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Boat log voice 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Marine Vision photos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Local 7 days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Marine Vision video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stored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lifetime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Helm AI sessions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Local/ephemeral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 days cloud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Unlimited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Unlimited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Alert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30-day purge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Anonymised aggregate data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Permanent (no PII)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Permanent (no PII)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Permanent (no PII)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deleted (no PII)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Payment records (Stripe)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 (T1 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 years (tax law)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 years (tax law)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7-year purge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Breach log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24 months minimum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24 months minimum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24 months minimum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Retain 24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Consent records (CASL)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lifetime + 2 yrs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lifetime + 2 yrs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 lifetime + 2 yrs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yrs post-deletion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Automated Cleanup</w:t>
            </w:r>
          </w:p>
          <w:p>
            <w:pPr>
              <w:spacing w:before="0" w:after="40"/>
            </w:pPr>
            <w:r>
              <w:rPr>
                <w:rFonts w:ascii="Arial" w:cs="Arial" w:eastAsia="Arial" w:hAnsi="Arial"/>
                <w:color w:val="1A1A1A"/>
                <w:sz w:val="21"/>
                <w:szCs w:val="21"/>
              </w:rPr>
              <w:t xml:space="preserve">These retention periods must be implemented as automated Supabase scheduled jobs (pg_cron), not manual processes. A missed manual cleanup = a compliance violation. Retention periods start from the date of each individual record, not from account creation.</w:t>
            </w:r>
          </w:p>
        </w:tc>
      </w:tr>
    </w:tbl>
    <w:p>
      <w:r>
        <w:br w:type="page"/>
      </w:r>
    </w:p>
    <w:p>
      <w:pPr>
        <w:pStyle w:val="Heading1"/>
        <w:spacing w:before="480" w:after="200"/>
      </w:pPr>
      <w:r>
        <w:rPr>
          <w:rFonts w:ascii="Arial" w:cs="Arial" w:eastAsia="Arial" w:hAnsi="Arial"/>
          <w:b/>
          <w:bCs/>
          <w:color w:val="1B3A5C"/>
          <w:sz w:val="40"/>
          <w:szCs w:val="40"/>
        </w:rPr>
        <w:t xml:space="preserve">8.  Consent Architecture</w:t>
      </w:r>
    </w:p>
    <w:p>
      <w:pPr>
        <w:spacing w:before="70" w:after="70"/>
      </w:pPr>
      <w:r>
        <w:rPr>
          <w:rFonts w:ascii="Arial" w:cs="Arial" w:eastAsia="Arial" w:hAnsi="Arial"/>
          <w:color w:val="1A1A1A"/>
          <w:sz w:val="22"/>
          <w:szCs w:val="22"/>
        </w:rPr>
        <w:t xml:space="preserve">Consent is the foundation of the entire compliance framework for T1+ users. The consent architecture must be granular (separate consent per purpose), freely given (not bundled with service access), informed (plain language), and documented (timestamp, IP, version of Privacy Policy at time of consent).</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8.1  Consent Required at Registration (T1)</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9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Consent Item</w:t>
            </w:r>
          </w:p>
        </w:tc>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Required For</w:t>
            </w:r>
          </w:p>
        </w:tc>
        <w:tc>
          <w:tcPr>
            <w:tcW w:type="dxa" w:w="1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Can Decline?</w:t>
            </w:r>
          </w:p>
        </w:tc>
        <w:tc>
          <w:tcPr>
            <w:tcW w:type="dxa" w:w="39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Effect of Declining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Terms of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T1+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 service requires ToS acceptance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create account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Privacy Policy acknowledgement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T1+ users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 required for data processing lawfulness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Cannot create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Telemetry collection (GPS, engine, tank levels)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T1+ cloud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 core service function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 use T0 offline mode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Voice assistant session sync to cloud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T1+ Helm AI history dashboard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Voice works locally; history not saved to 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Marine Vision media upload to cloud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T1+ gallery feature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Camera works locally; media not uploaded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Captain's Log newsletter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Email marketing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newsletter; transactional emails still 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data sharing (B2B 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Revenue 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must be opt-in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Data not included in B2B products; no service impact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'Go Private' mode (opt-out of all cloud)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Privacy protection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Available any time post-registration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 cloud sync stops immediately</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8.2  Consent Documentation Requirements</w:t>
      </w:r>
    </w:p>
    <w:p>
      <w:pPr>
        <w:pStyle w:val="ListParagraph"/>
        <w:numPr>
          <w:ilvl w:val="0"/>
          <w:numId w:val="2"/>
        </w:numPr>
        <w:spacing w:before="50" w:after="50"/>
      </w:pPr>
      <w:r>
        <w:rPr>
          <w:rFonts w:ascii="Arial" w:cs="Arial" w:eastAsia="Arial" w:hAnsi="Arial"/>
          <w:color w:val="1A1A1A"/>
          <w:sz w:val="22"/>
          <w:szCs w:val="22"/>
        </w:rPr>
        <w:t xml:space="preserve">Record for each consent: user_id, consent_type, granted (boolean), ip_address, user_agent, consent_version (links to Privacy Policy version), timestamp</w:t>
      </w:r>
    </w:p>
    <w:p>
      <w:pPr>
        <w:pStyle w:val="ListParagraph"/>
        <w:numPr>
          <w:ilvl w:val="0"/>
          <w:numId w:val="2"/>
        </w:numPr>
        <w:spacing w:before="50" w:after="50"/>
      </w:pPr>
      <w:r>
        <w:rPr>
          <w:rFonts w:ascii="Arial" w:cs="Arial" w:eastAsia="Arial" w:hAnsi="Arial"/>
          <w:color w:val="1A1A1A"/>
          <w:sz w:val="22"/>
          <w:szCs w:val="22"/>
        </w:rPr>
        <w:t xml:space="preserve">Store in a consent_log table in Supabase — append-only, never update or delete rows</w:t>
      </w:r>
    </w:p>
    <w:p>
      <w:pPr>
        <w:pStyle w:val="ListParagraph"/>
        <w:numPr>
          <w:ilvl w:val="0"/>
          <w:numId w:val="2"/>
        </w:numPr>
        <w:spacing w:before="50" w:after="50"/>
      </w:pPr>
      <w:r>
        <w:rPr>
          <w:rFonts w:ascii="Arial" w:cs="Arial" w:eastAsia="Arial" w:hAnsi="Arial"/>
          <w:color w:val="1A1A1A"/>
          <w:sz w:val="22"/>
          <w:szCs w:val="22"/>
        </w:rPr>
        <w:t xml:space="preserve">When Privacy Policy is updated, existing consents remain valid for the version they were granted under. Material changes require re-consent.</w:t>
      </w:r>
    </w:p>
    <w:p>
      <w:pPr>
        <w:pStyle w:val="ListParagraph"/>
        <w:numPr>
          <w:ilvl w:val="0"/>
          <w:numId w:val="2"/>
        </w:numPr>
        <w:spacing w:before="50" w:after="50"/>
      </w:pPr>
      <w:r>
        <w:rPr>
          <w:rFonts w:ascii="Arial" w:cs="Arial" w:eastAsia="Arial" w:hAnsi="Arial"/>
          <w:color w:val="1A1A1A"/>
          <w:sz w:val="22"/>
          <w:szCs w:val="22"/>
        </w:rPr>
        <w:t xml:space="preserve">Withdrawal of consent is also logged as a new row (granted: false) — never overwrite historical grant</w:t>
      </w:r>
    </w:p>
    <w:p>
      <w:pPr>
        <w:spacing w:before="120" w:after="0"/>
      </w:pPr>
      <w:r>
        <w:t xml:space="preserve"/>
      </w:r>
    </w:p>
    <w:p>
      <w:pPr>
        <w:pStyle w:val="Heading2"/>
        <w:spacing w:before="340" w:after="140"/>
      </w:pPr>
      <w:r>
        <w:rPr>
          <w:rFonts w:ascii="Arial" w:cs="Arial" w:eastAsia="Arial" w:hAnsi="Arial"/>
          <w:b/>
          <w:bCs/>
          <w:color w:val="0D7377"/>
          <w:sz w:val="30"/>
          <w:szCs w:val="30"/>
        </w:rPr>
        <w:t xml:space="preserve">8.3  Cookie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Cookie Type</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Legal Basis</w:t>
            </w:r>
          </w:p>
        </w:tc>
        <w:tc>
          <w:tcPr>
            <w:tcW w:type="dxa" w:w="2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Consent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Session/auth cookies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Login state 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Contract — necessary to provide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 strictly necessary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Stripe cookies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Payment processing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Contract — necessary for T2/T3</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 strictly necessary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Plausible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Privacy-first page analytics (no PII)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Legitimate Interest — aggregate analytics, no tracking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under Law 25 if genuinely no PII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Hotjar (if added)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Heat mapping, session recording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Consent required (records mouse movements = personal data)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Yes — opt-in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Claude API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AI chat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Contract — necessary for First Mate to function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 strictly necessary for service requested</w:t>
            </w:r>
          </w:p>
        </w:tc>
      </w:tr>
    </w:tbl>
    <w:p>
      <w:r>
        <w:br w:type="page"/>
      </w:r>
    </w:p>
    <w:p>
      <w:pPr>
        <w:pStyle w:val="Heading1"/>
        <w:spacing w:before="480" w:after="200"/>
      </w:pPr>
      <w:r>
        <w:rPr>
          <w:rFonts w:ascii="Arial" w:cs="Arial" w:eastAsia="Arial" w:hAnsi="Arial"/>
          <w:b/>
          <w:bCs/>
          <w:color w:val="1B3A5C"/>
          <w:sz w:val="40"/>
          <w:szCs w:val="40"/>
        </w:rPr>
        <w:t xml:space="preserve">9.  World Market Compliance Map</w:t>
      </w:r>
    </w:p>
    <w:p>
      <w:pPr>
        <w:spacing w:before="70" w:after="70"/>
      </w:pPr>
      <w:r>
        <w:rPr>
          <w:rFonts w:ascii="Arial" w:cs="Arial" w:eastAsia="Arial" w:hAnsi="Arial"/>
          <w:color w:val="1A1A1A"/>
          <w:sz w:val="22"/>
          <w:szCs w:val="22"/>
        </w:rPr>
        <w:t xml:space="preserve">If atmyboat.com expands beyond Canada and the US — particularly into Europe, Australia, or Asia-Pacific — additional frameworks become relevant. This section maps the global landscape so expansion decisions can be made with eyes open.</w:t>
      </w:r>
    </w:p>
    <w:p>
      <w:pPr>
        <w:spacing w:before="12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000"/>
        <w:gridCol w:w="1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Jurisdiction</w:t>
            </w:r>
          </w:p>
        </w:tc>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Privacy Law</w:t>
            </w:r>
          </w:p>
        </w:tc>
        <w:tc>
          <w:tcPr>
            <w:tcW w:type="dxa" w:w="4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Consideration for atmyboat.com</w:t>
            </w:r>
          </w:p>
        </w:tc>
        <w:tc>
          <w:tcPr>
            <w:tcW w:type="dxa" w:w="1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Adequacy w/ Canada?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European Union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 Data Act, CRA)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Extraterritorial. Applies from day 1 if EU users exist. EU representative required.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Canada has EU adequacy — simplifies transfers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United Kingdom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UK GDPR + Data Protection Act 2018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Post-Brexit equivalent of GDPR. Same requirements, separate regulator (ICO). UK representative if UK users.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Separate adequacy needed — check current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United States (Federal)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federal law — state patchwork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CCPA is most significant. No federal Marine/IoT law.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Australia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Privacy Act 1988 + Australian Privacy Principles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Applies to organisations with &gt;$3M revenue or certain data types. GPS data covered.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 — no adequacy with Canada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Zealand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Act 2020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Similar to Canadian PIPEDA. Notification of privacy breaches required.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Mutual recognition principles apply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Singapore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Personal Data Protection Act (PDPA)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Consent model similar to PIPEDA. Mandatory breach notification within 3 days.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Brazil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LGPD — Lei Geral de Proteção de Dados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GDPR-modelled. Applies to any processing of Brazilian residents'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Japan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APPI — Act on Protection of Personal Information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Opt-out for third-party data provision. Data localisation not required.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Japan-Canada adequacy recognition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India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Digital Personal Data Protection Act 2023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Consent-based, opt-in model. Significant penalties. In force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South Korea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PIPA — Personal Information Protection Act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One of the world's strictest. Explicit consent for all collection. Data localisation for some data types.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 adequacy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Practical Recommendation for World Market</w:t>
            </w:r>
          </w:p>
          <w:p>
            <w:pPr>
              <w:spacing w:before="0" w:after="40"/>
            </w:pPr>
            <w:r>
              <w:rPr>
                <w:rFonts w:ascii="Arial" w:cs="Arial" w:eastAsia="Arial" w:hAnsi="Arial"/>
                <w:color w:val="1A1A1A"/>
                <w:sz w:val="21"/>
                <w:szCs w:val="21"/>
              </w:rPr>
              <w:t xml:space="preserve">Build once to the highest common standard. GDPR + Quebec Law 25 together represent the world's strictest practical baseline for most categories. A platform compliant with both of these will be substantially compliant in every jurisdiction listed above, with only minor local adaptations needed (e.g., local representative appointments, specific breach notification timelines).</w:t>
            </w:r>
          </w:p>
          <w:p>
            <w:pPr>
              <w:spacing w:before="0" w:after="40"/>
            </w:pPr>
            <w:r>
              <w:rPr>
                <w:rFonts w:ascii="Arial" w:cs="Arial" w:eastAsia="Arial" w:hAnsi="Arial"/>
                <w:color w:val="1A1A1A"/>
                <w:sz w:val="21"/>
                <w:szCs w:val="21"/>
              </w:rPr>
              <w:t xml:space="preserve"/>
            </w:r>
          </w:p>
          <w:p>
            <w:pPr>
              <w:spacing w:before="0" w:after="40"/>
            </w:pPr>
            <w:r>
              <w:rPr>
                <w:rFonts w:ascii="Arial" w:cs="Arial" w:eastAsia="Arial" w:hAnsi="Arial"/>
                <w:color w:val="1A1A1A"/>
                <w:sz w:val="21"/>
                <w:szCs w:val="21"/>
              </w:rPr>
              <w:t xml:space="preserve">The single most powerful thing you can do for world market compliance is to build Privacy by Design into every feature from day one — collect less, encrypt more, default to private, make consent granular.</w:t>
            </w:r>
          </w:p>
        </w:tc>
      </w:tr>
    </w:tbl>
    <w:p>
      <w:r>
        <w:br w:type="page"/>
      </w:r>
    </w:p>
    <w:p>
      <w:pPr>
        <w:pStyle w:val="Heading1"/>
        <w:spacing w:before="480" w:after="200"/>
      </w:pPr>
      <w:r>
        <w:rPr>
          <w:rFonts w:ascii="Arial" w:cs="Arial" w:eastAsia="Arial" w:hAnsi="Arial"/>
          <w:b/>
          <w:bCs/>
          <w:color w:val="1B3A5C"/>
          <w:sz w:val="40"/>
          <w:szCs w:val="40"/>
        </w:rPr>
        <w:t xml:space="preserve">10.  Compliance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pPr>
              <w:spacing w:before="0" w:after="80"/>
            </w:pPr>
            <w:r>
              <w:rPr>
                <w:rFonts w:ascii="Arial" w:cs="Arial" w:eastAsia="Arial" w:hAnsi="Arial"/>
                <w:b/>
                <w:bCs/>
                <w:color w:val="1B3A5C"/>
                <w:sz w:val="22"/>
                <w:szCs w:val="22"/>
              </w:rPr>
              <w:t xml:space="preserve">Legal Counsel First</w:t>
            </w:r>
          </w:p>
          <w:p>
            <w:pPr>
              <w:spacing w:before="0" w:after="40"/>
            </w:pPr>
            <w:r>
              <w:rPr>
                <w:rFonts w:ascii="Arial" w:cs="Arial" w:eastAsia="Arial" w:hAnsi="Arial"/>
                <w:color w:val="1A1A1A"/>
                <w:sz w:val="21"/>
                <w:szCs w:val="21"/>
              </w:rPr>
              <w:t xml:space="preserve">Before launching T1+ and certainly before any B2B data sales, engage a lawyer. Specifically:</w:t>
            </w:r>
          </w:p>
          <w:p>
            <w:pPr>
              <w:spacing w:before="0" w:after="40"/>
            </w:pPr>
            <w:r>
              <w:rPr>
                <w:rFonts w:ascii="Arial" w:cs="Arial" w:eastAsia="Arial" w:hAnsi="Arial"/>
                <w:color w:val="1A1A1A"/>
                <w:sz w:val="21"/>
                <w:szCs w:val="21"/>
              </w:rPr>
              <w:t xml:space="preserve">  1. A Canadian privacy lawyer (Alberta/federal jurisdiction + Law 25 awareness)</w:t>
            </w:r>
          </w:p>
          <w:p>
            <w:pPr>
              <w:spacing w:before="0" w:after="40"/>
            </w:pPr>
            <w:r>
              <w:rPr>
                <w:rFonts w:ascii="Arial" w:cs="Arial" w:eastAsia="Arial" w:hAnsi="Arial"/>
                <w:color w:val="1A1A1A"/>
                <w:sz w:val="21"/>
                <w:szCs w:val="21"/>
              </w:rPr>
              <w:t xml:space="preserve">  2. An EU GDPR specialist (can be arranged affordably through international firms)</w:t>
            </w:r>
          </w:p>
          <w:p>
            <w:pPr>
              <w:spacing w:before="0" w:after="40"/>
            </w:pPr>
            <w:r>
              <w:rPr>
                <w:rFonts w:ascii="Arial" w:cs="Arial" w:eastAsia="Arial" w:hAnsi="Arial"/>
                <w:color w:val="1A1A1A"/>
                <w:sz w:val="21"/>
                <w:szCs w:val="21"/>
              </w:rPr>
              <w:t xml:space="preserve">Budget: $3,000–$8,000 CAD for a privacy audit, Privacy Policy review, and ToS review. This is non-negotiable for a data company.</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10.1  Pre-Launch — Before T1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4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Framework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Appoint Privacy Officer (Skipper Don)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Donald Moskaluk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hour (formal designation)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 Law 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Complete Privacy Impact Assessment (PIA)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Legal counsel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Law 25, GDPR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Finalise Privacy Policy (legal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Legal counsel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Finalise Terms of Service (legal review)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Legal counsel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Implement granular consent flow at T1 registration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PIPEDA, Law 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Implement consent_log table in Supabase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0.5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CASL, GDPR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Create /privacy, /terms, /license, /accessibility 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AODA, PIPEDA, GPL v3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Create Accessibility Statement (/accessibility)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 + content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0.5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AODA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Add security.txt at /.well-known/security.txt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hour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CRA, NIST CSF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Force password change during n3-k1 onboarding (change 'pi')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0.5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 CRA, NIST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Bind local API ports to 127.0.0.1 (not 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0.5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CRA, NIST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Encrypt cloud-credentials.json at rest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 day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NIST, EU CRA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Supabase RLS: device API key scoped to own boat_id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0.5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NIST, GDPR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HTTPS enforcement + HSTS header via Cloudflare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0.5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NIST, EU CRA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Supabase Data Processing Agreement (DPA) — request from Supabase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Donald Moskaluk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hour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Law 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Check Supabase data residency — request Canadian region hosting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Donald Moskaluk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 hour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GDPR cross-border transfers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Add 'Do Not Sell' link to footer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hour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CCPA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WCAG 2.1 AA audit of landing page and registration flow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 or accessibility consultant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1–2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AODA</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10.2  Within 90 Days of Launch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Framework</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Implement automated data retention cleanup jobs (pg_cron in Supabase)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 GDPR, Law 25</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Build Dashboard → Account Settings → Download My Data (data export)</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GDPR Art. 20, CCPA, Law 25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 Account Settings → Delete Account (30-day purge)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Art. 17, Law 25</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Build consent withdrawal mechanism (granular toggles in Account Settings)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GDPR, PIPEDA, CASL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OTA update system for n3-k1 — security patch delivery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CRA, NIST IR 8259A</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Breach notification runbook (72-hour response plan)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PIPEDA, GDPR, Law 25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Set up Supabase audit log for all data access events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NIST CSF — DETECT function</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Full WCAG 2.1 AA audit of complete website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AODA</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Document data flows and create a Data Flow Diagram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Art. 30 (Records of Processing), Law 25 PIA</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10.3  Before Any B2B Data Sales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Framework</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Legal review of anonymisation methodology by a privacy lawyer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 Law 25, GDPR — 'genuine anonymisation' standard</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Data Protection Impact Assessment (DPIA) specific to B2B product</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GDPR Art. 35, Law 25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Draft and execute Data Processing Agreements with every B2B customer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Art. 28, Law 25</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Implement mechanism to exclude non-consenting users' data from B2B pipeline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PIPEDA, GDPR, Law 25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EU B2B customers: appoint EU legal representative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Art. 27, Data Act</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Register as data broker if selling to California-based companies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CCPA / California Delete Act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Implement re-identification risk assessment process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Recital 26, Law 25 — anonymisation standard</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10.4  Annual Ongoing Compliance</w:t>
      </w:r>
    </w:p>
    <w:p>
      <w:pPr>
        <w:pStyle w:val="ListParagraph"/>
        <w:numPr>
          <w:ilvl w:val="0"/>
          <w:numId w:val="2"/>
        </w:numPr>
        <w:spacing w:before="50" w:after="50"/>
      </w:pPr>
      <w:r>
        <w:rPr>
          <w:rFonts w:ascii="Arial" w:cs="Arial" w:eastAsia="Arial" w:hAnsi="Arial"/>
          <w:color w:val="1A1A1A"/>
          <w:sz w:val="22"/>
          <w:szCs w:val="22"/>
        </w:rPr>
        <w:t xml:space="preserve">Annual privacy audit — review data flows, consent mechanisms, retention enforcement</w:t>
      </w:r>
    </w:p>
    <w:p>
      <w:pPr>
        <w:pStyle w:val="ListParagraph"/>
        <w:numPr>
          <w:ilvl w:val="0"/>
          <w:numId w:val="2"/>
        </w:numPr>
        <w:spacing w:before="50" w:after="50"/>
      </w:pPr>
      <w:r>
        <w:rPr>
          <w:rFonts w:ascii="Arial" w:cs="Arial" w:eastAsia="Arial" w:hAnsi="Arial"/>
          <w:color w:val="1A1A1A"/>
          <w:sz w:val="22"/>
          <w:szCs w:val="22"/>
        </w:rPr>
        <w:t xml:space="preserve">Annual WCAG audit — test new features for accessibility</w:t>
      </w:r>
    </w:p>
    <w:p>
      <w:pPr>
        <w:pStyle w:val="ListParagraph"/>
        <w:numPr>
          <w:ilvl w:val="0"/>
          <w:numId w:val="2"/>
        </w:numPr>
        <w:spacing w:before="50" w:after="50"/>
      </w:pPr>
      <w:r>
        <w:rPr>
          <w:rFonts w:ascii="Arial" w:cs="Arial" w:eastAsia="Arial" w:hAnsi="Arial"/>
          <w:color w:val="1A1A1A"/>
          <w:sz w:val="22"/>
          <w:szCs w:val="22"/>
        </w:rPr>
        <w:t xml:space="preserve">Monitor Canadian federal privacy law developments (new CPPA expected 2026)</w:t>
      </w:r>
    </w:p>
    <w:p>
      <w:pPr>
        <w:pStyle w:val="ListParagraph"/>
        <w:numPr>
          <w:ilvl w:val="0"/>
          <w:numId w:val="2"/>
        </w:numPr>
        <w:spacing w:before="50" w:after="50"/>
      </w:pPr>
      <w:r>
        <w:rPr>
          <w:rFonts w:ascii="Arial" w:cs="Arial" w:eastAsia="Arial" w:hAnsi="Arial"/>
          <w:color w:val="1A1A1A"/>
          <w:sz w:val="22"/>
          <w:szCs w:val="22"/>
        </w:rPr>
        <w:t xml:space="preserve">Monitor Alberta PIPA amendments (expected 2026)</w:t>
      </w:r>
    </w:p>
    <w:p>
      <w:pPr>
        <w:pStyle w:val="ListParagraph"/>
        <w:numPr>
          <w:ilvl w:val="0"/>
          <w:numId w:val="2"/>
        </w:numPr>
        <w:spacing w:before="50" w:after="50"/>
      </w:pPr>
      <w:r>
        <w:rPr>
          <w:rFonts w:ascii="Arial" w:cs="Arial" w:eastAsia="Arial" w:hAnsi="Arial"/>
          <w:color w:val="1A1A1A"/>
          <w:sz w:val="22"/>
          <w:szCs w:val="22"/>
        </w:rPr>
        <w:t xml:space="preserve">Monitor EU Data Act access-by-design obligations (September 2026)</w:t>
      </w:r>
    </w:p>
    <w:p>
      <w:pPr>
        <w:pStyle w:val="ListParagraph"/>
        <w:numPr>
          <w:ilvl w:val="0"/>
          <w:numId w:val="2"/>
        </w:numPr>
        <w:spacing w:before="50" w:after="50"/>
      </w:pPr>
      <w:r>
        <w:rPr>
          <w:rFonts w:ascii="Arial" w:cs="Arial" w:eastAsia="Arial" w:hAnsi="Arial"/>
          <w:color w:val="1A1A1A"/>
          <w:sz w:val="22"/>
          <w:szCs w:val="22"/>
        </w:rPr>
        <w:t xml:space="preserve">Update Privacy Policy and ToS when material changes occur — re-consent from users</w:t>
      </w:r>
    </w:p>
    <w:p>
      <w:pPr>
        <w:pStyle w:val="ListParagraph"/>
        <w:numPr>
          <w:ilvl w:val="0"/>
          <w:numId w:val="2"/>
        </w:numPr>
        <w:spacing w:before="50" w:after="50"/>
      </w:pPr>
      <w:r>
        <w:rPr>
          <w:rFonts w:ascii="Arial" w:cs="Arial" w:eastAsia="Arial" w:hAnsi="Arial"/>
          <w:color w:val="1A1A1A"/>
          <w:sz w:val="22"/>
          <w:szCs w:val="22"/>
        </w:rPr>
        <w:t xml:space="preserve">Renew Supabase DPA annually</w:t>
      </w:r>
    </w:p>
    <w:p>
      <w:pPr>
        <w:pStyle w:val="ListParagraph"/>
        <w:numPr>
          <w:ilvl w:val="0"/>
          <w:numId w:val="2"/>
        </w:numPr>
        <w:spacing w:before="50" w:after="50"/>
      </w:pPr>
      <w:r>
        <w:rPr>
          <w:rFonts w:ascii="Arial" w:cs="Arial" w:eastAsia="Arial" w:hAnsi="Arial"/>
          <w:color w:val="1A1A1A"/>
          <w:sz w:val="22"/>
          <w:szCs w:val="22"/>
        </w:rPr>
        <w:t xml:space="preserve">Test the breach notification runbook annually</w:t>
      </w:r>
    </w:p>
    <w:p>
      <w:r>
        <w:br w:type="page"/>
      </w:r>
    </w:p>
    <w:p>
      <w:pPr>
        <w:pStyle w:val="Heading1"/>
        <w:spacing w:before="480" w:after="200"/>
      </w:pPr>
      <w:r>
        <w:rPr>
          <w:rFonts w:ascii="Arial" w:cs="Arial" w:eastAsia="Arial" w:hAnsi="Arial"/>
          <w:b/>
          <w:bCs/>
          <w:color w:val="1B3A5C"/>
          <w:sz w:val="40"/>
          <w:szCs w:val="40"/>
        </w:rPr>
        <w:t xml:space="preserve">11.  Compliance Status Dashboard</w:t>
      </w:r>
    </w:p>
    <w:p>
      <w:pPr>
        <w:spacing w:before="70" w:after="70"/>
      </w:pPr>
      <w:r>
        <w:rPr>
          <w:rFonts w:ascii="Arial" w:cs="Arial" w:eastAsia="Arial" w:hAnsi="Arial"/>
          <w:color w:val="1A1A1A"/>
          <w:sz w:val="22"/>
          <w:szCs w:val="22"/>
        </w:rPr>
        <w:t xml:space="preserve">This is the master status tracker. Update after each milestone.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800"/>
        <w:gridCol w:w="1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Compliance Area</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Framework</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Target Date</w:t>
            </w:r>
          </w:p>
        </w:tc>
        <w:tc>
          <w:tcPr>
            <w:tcW w:type="dxa" w:w="15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Policy (published)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 GDPR, Law 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Legal counsel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Terms of Service (published)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Legal counsel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Accessibility Statement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AODA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Donald Moskaluk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GPL v3 License Notice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GPL v3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Officer designated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 Law 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Donald Moskaluk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Privacy Impact Assessment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Law 25, GDPR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Legal counsel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Consent flow (granular, 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PIPEDA, CASL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WCAG 2.1 AA audit — landing page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AODA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Security.txt deployed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CRA, NIST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Local ports secured (127.0.0.1)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NIST, EU CRA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Onboarding password change (not 'pi')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CRA, NIST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HTTPS + HSTS enforced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NIST, EU CRA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Supabase DPA executed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Law 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Donald Moskaluk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Supabase data residency confirmed (Canada)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GDPR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Pre-launch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Donald Moskaluk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Data export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Art. 20, CCPA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 days post-launch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Account deletion (30-day purge)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GDPR, Law 25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90 days post-launch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Retention cleanup jobs (pg_cron)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 GDPR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 days post-launch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Breach notification runbook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PIPEDA, GDPR, Law 25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90 days post-launch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Donald Moskaluk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OTA security update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CRA, NIST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 (integration spec)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Developer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B2B anonymisation legal review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PIPEDA, GDPR, Law 25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Before B2B 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Legal counsel</w:t>
            </w:r>
          </w:p>
        </w:tc>
      </w:tr>
    </w:tbl>
    <w:p>
      <w:r>
        <w:br w:type="page"/>
      </w:r>
    </w:p>
    <w:p>
      <w:pPr>
        <w:pStyle w:val="Heading1"/>
        <w:spacing w:before="480" w:after="200"/>
      </w:pPr>
      <w:r>
        <w:rPr>
          <w:rFonts w:ascii="Arial" w:cs="Arial" w:eastAsia="Arial" w:hAnsi="Arial"/>
          <w:b/>
          <w:bCs/>
          <w:color w:val="1B3A5C"/>
          <w:sz w:val="40"/>
          <w:szCs w:val="40"/>
        </w:rPr>
        <w:t xml:space="preserve">12.  Key Regulatory Contacts &amp; Resources</w:t>
      </w:r>
    </w:p>
    <w:p>
      <w:pPr>
        <w:pStyle w:val="Heading2"/>
        <w:spacing w:before="340" w:after="140"/>
      </w:pPr>
      <w:r>
        <w:rPr>
          <w:rFonts w:ascii="Arial" w:cs="Arial" w:eastAsia="Arial" w:hAnsi="Arial"/>
          <w:b/>
          <w:bCs/>
          <w:color w:val="0D7377"/>
          <w:sz w:val="30"/>
          <w:szCs w:val="30"/>
        </w:rPr>
        <w:t xml:space="preserve">12.1  Canadian Regulatory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Body</w:t>
            </w:r>
          </w:p>
        </w:tc>
        <w:tc>
          <w:tcPr>
            <w:tcW w:type="dxa" w:w="1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Jurisdiction</w:t>
            </w:r>
          </w:p>
        </w:tc>
        <w:tc>
          <w:tcPr>
            <w:tcW w:type="dxa" w:w="2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Website</w:t>
            </w:r>
          </w:p>
        </w:tc>
        <w:tc>
          <w:tcPr>
            <w:tcW w:type="dxa" w:w="33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When to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Office of the Privacy Commissioner (OPC)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Federal — PIPEDA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priv.gc.ca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Privacy breach notification; privacy audit questions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Commission d'accès à l'information (CAI)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Quebec — Law 25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cai.quebec.ca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Quebec breach notification; Law 25 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Office of the Information and Privacy Commissioner of Alberta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Alberta — PIPA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oipc.ab.ca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Alberta breach notification; PIPA guidance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Accessibility Directorate of Ontario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Ontario — AODA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ontario.ca/accessibility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AODA compliance guidance; accessibility feedback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Canadian Radio-television and Telecommunications Commission (CRTC)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Federal — CASL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crtc.gc.ca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CASL complaints; email consent guidance</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12.2  EU Regulatory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Body</w:t>
            </w:r>
          </w:p>
        </w:tc>
        <w:tc>
          <w:tcPr>
            <w:tcW w:type="dxa" w:w="40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Role</w:t>
            </w:r>
          </w:p>
        </w:tc>
        <w:tc>
          <w:tcPr>
            <w:tcW w:type="dxa" w:w="2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Website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European Data Protection Board (EDPB)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Coordinates GDPR enforcement across EU member states; publishes guidance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edpb.europa.eu</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ENISA (EU Agency for Cybersecurity)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Publishes IoT security guidelines; oversees CRA guidance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enisa.europa.eu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Data Protection Authorities (one per member state)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Enforce GDPR in each country. If you appoint an EU rep, pick the member state of your rep as lead authority.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edpb.europa.eu/about-edpb/board/members_en</w:t>
            </w:r>
          </w:p>
        </w:tc>
      </w:tr>
    </w:tbl>
    <w:p>
      <w:pPr>
        <w:spacing w:before="120" w:after="0"/>
      </w:pPr>
      <w:r>
        <w:t xml:space="preserve"/>
      </w:r>
    </w:p>
    <w:p>
      <w:pPr>
        <w:pStyle w:val="Heading2"/>
        <w:spacing w:before="340" w:after="140"/>
      </w:pPr>
      <w:r>
        <w:rPr>
          <w:rFonts w:ascii="Arial" w:cs="Arial" w:eastAsia="Arial" w:hAnsi="Arial"/>
          <w:b/>
          <w:bCs/>
          <w:color w:val="0D7377"/>
          <w:sz w:val="30"/>
          <w:szCs w:val="30"/>
        </w:rPr>
        <w:t xml:space="preserve">12.3  Key Reading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Publisher</w:t>
            </w:r>
          </w:p>
        </w:tc>
        <w:tc>
          <w:tcPr>
            <w:tcW w:type="dxa" w:w="280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URL / Location</w:t>
            </w:r>
          </w:p>
        </w:tc>
        <w:tc>
          <w:tcPr>
            <w:tcW w:type="dxa" w:w="2760"/>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NIST CSF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nist.gov/cyberframework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cybersecurity framework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NIST IR 8259A — IoT Device Cybersecurity Baseline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NIST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nvlpubs.nist.gov</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n3-k1 hardware security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 Full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gdpr-info.eu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 for EU privacy obligations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 Data Act Full 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eur-lex.europa.eu</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IoT connected product obligations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 Cyber Resilience 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eur-lex.europa.eu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Product security requirements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WCAG 2.1 Understanding Docs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W3C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w3.org/WAI/WCAG21/Understanding/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Accessible implementation 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PIPEDA Full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Government of Canada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laws-lois.justice.gc.ca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Current Canadian privacy law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Quebec Law 25 Summary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cai.quebec.ca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20"/>
                <w:szCs w:val="20"/>
              </w:rPr>
              <w:t xml:space="preserve">Quebec privacy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CASL Compliance Guidance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CRTC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crtc.gc.ca/casl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Email marketing compliance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00"/>
      </w:tabs>
      <w:spacing w:before="100" w:after="0"/>
    </w:pPr>
    <w:r>
      <w:rPr>
        <w:rFonts w:ascii="Arial" w:cs="Arial" w:eastAsia="Arial" w:hAnsi="Arial"/>
        <w:color w:val="888888"/>
        <w:sz w:val="18"/>
        <w:szCs w:val="18"/>
      </w:rPr>
      <w:t xml:space="preserve">⚓  Donald Moskaluk Consulting  ·  Not Legal Advice  ·  Engage qualified counsel before reliance</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00"/>
      </w:tabs>
      <w:spacing w:before="0" w:after="100"/>
    </w:pPr>
    <w:r>
      <w:rPr>
        <w:rFonts w:ascii="Arial" w:cs="Arial" w:eastAsia="Arial" w:hAnsi="Arial"/>
        <w:color w:val="888888"/>
        <w:sz w:val="18"/>
        <w:szCs w:val="18"/>
      </w:rPr>
      <w:t xml:space="preserve">atmyboat.com  ·  Global Compliance Framework  ·  CONFIDENTIAL</w:t>
    </w:r>
    <w:r>
      <w:rPr>
        <w:sz w:val="18"/>
        <w:szCs w:val="18"/>
      </w:rPr>
      <w:t xml:space="preserve">	</w:t>
    </w:r>
    <w:r>
      <w:rPr>
        <w:rFonts w:ascii="Arial" w:cs="Arial" w:eastAsia="Arial" w:hAnsi="Arial"/>
        <w:color w:val="888888"/>
        <w:sz w:val="18"/>
        <w:szCs w:val="18"/>
      </w:rPr>
      <w:t xml:space="preserve">March 2026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40"/>
      <w:szCs w:val="40"/>
    </w:rPr>
  </w:style>
  <w:style w:type="paragraph" w:styleId="Heading2">
    <w:name w:val="Heading 2"/>
    <w:basedOn w:val="Normal"/>
    <w:next w:val="Normal"/>
    <w:qFormat/>
    <w:pPr>
      <w:spacing w:before="340" w:after="140"/>
      <w:outlineLvl w:val="1"/>
    </w:pPr>
    <w:rPr>
      <w:rFonts w:ascii="Arial" w:cs="Arial" w:eastAsia="Arial" w:hAnsi="Arial"/>
      <w:b/>
      <w:bCs/>
      <w:color w:val="0D737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2026-03-05T01:05:11.883Z</dcterms:created>
  <dcterms:modified xsi:type="dcterms:W3CDTF">2026-03-05T01:05:11.884Z</dcterms:modified>
</cp:coreProperties>
</file>

<file path=docProps/custom.xml><?xml version="1.0" encoding="utf-8"?>
<Properties xmlns="http://schemas.openxmlformats.org/officeDocument/2006/custom-properties" xmlns:vt="http://schemas.openxmlformats.org/officeDocument/2006/docPropsVTypes"/>
</file>