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b/>
          <w:bCs/>
          <w:sz w:val="34"/>
          <w:szCs w:val="34"/>
        </w:rPr>
        <w:t xml:space="preserve">Sales Forecasting &amp; Demand Intelligence</w:t>
      </w:r>
    </w:p>
    <w:p>
      <w:pPr>
        <w:spacing w:after="100"/>
        <w:jc w:val="center"/>
      </w:pPr>
      <w:r>
        <w:rPr>
          <w:b/>
          <w:bCs/>
          <w:sz w:val="34"/>
          <w:szCs w:val="34"/>
        </w:rPr>
        <w:t xml:space="preserve">Executive Business Report</w:t>
      </w:r>
    </w:p>
    <w:p>
      <w:pPr>
        <w:spacing w:after="120"/>
        <w:jc w:val="center"/>
      </w:pPr>
      <w:r>
        <w:rPr>
          <w:sz w:val="19"/>
          <w:szCs w:val="19"/>
        </w:rPr>
        <w:t xml:space="preserve">Internship Project, Week 3 &amp; 4  |  Shivapuja Sai Kiran Goud  |  B.Tech CSE (Data Science), HITAM, Hyderabad</w:t>
      </w:r>
    </w:p>
    <w:p>
      <w:pPr>
        <w:pBdr>
          <w:bottom w:val="single" w:color="000000" w:sz="8" w:space="1"/>
        </w:pBdr>
        <w:spacing w:after="200"/>
      </w:pPr>
    </w:p>
    <w:p>
      <w:pPr>
        <w:spacing w:after="80" w:before="200"/>
      </w:pPr>
      <w:r>
        <w:rPr>
          <w:b/>
          <w:bCs/>
          <w:sz w:val="24"/>
          <w:szCs w:val="24"/>
        </w:rPr>
        <w:t xml:space="preserve">Executive Summary</w:t>
      </w:r>
    </w:p>
    <w:p>
      <w:pPr>
        <w:spacing w:after="140"/>
        <w:jc w:val="both"/>
      </w:pPr>
      <w:r>
        <w:rPr>
          <w:sz w:val="21"/>
          <w:szCs w:val="21"/>
        </w:rPr>
        <w:t xml:space="preserve">This project analyzed four years of Superstore sales data (2015-2018) to help supply chain and finance teams plan inventory with more confidence. We built and compared three different sales forecasting approaches, identified specific weeks where sales broke from the normal pattern, and grouped the business's 17 product sub-categories into four demand profiles so each can be stocked using a strategy suited to how it actually behaves. Overall, the business generated ₹22.6 lakh in recorded sales across the period with steady year-over-year growth, driven by a strong and highly repeatable November-December holiday season.</w:t>
      </w:r>
    </w:p>
    <w:p>
      <w:pPr>
        <w:spacing w:after="80" w:before="200"/>
      </w:pPr>
      <w:r>
        <w:rPr>
          <w:b/>
          <w:bCs/>
          <w:sz w:val="24"/>
          <w:szCs w:val="24"/>
        </w:rPr>
        <w:t xml:space="preserve">Key Findings</w:t>
      </w:r>
    </w:p>
    <w:p>
      <w:pPr>
        <w:pStyle w:val="ListParagraph"/>
        <w:numPr>
          <w:ilvl w:val="0"/>
          <w:numId w:val="1"/>
        </w:numPr>
        <w:spacing w:after="80"/>
      </w:pPr>
      <w:r>
        <w:rPr>
          <w:sz w:val="21"/>
          <w:szCs w:val="21"/>
        </w:rPr>
        <w:t xml:space="preserve">Technology is the top revenue category (₹8.27L), narrowly ahead of Furniture (₹7.29L) and Office Supplies (₹7.05L) — a fairly balanced product mix, not one dominated by a single line.</w:t>
      </w:r>
    </w:p>
    <w:p>
      <w:pPr>
        <w:pStyle w:val="ListParagraph"/>
        <w:numPr>
          <w:ilvl w:val="0"/>
          <w:numId w:val="1"/>
        </w:numPr>
        <w:spacing w:after="80"/>
      </w:pPr>
      <w:r>
        <w:rPr>
          <w:sz w:val="21"/>
          <w:szCs w:val="21"/>
        </w:rPr>
        <w:t xml:space="preserve">The East region has grown every single year with the steadiest trajectory of any region (roughly +18% year-over-year, on average) — the lowest-risk region for further investment.</w:t>
      </w:r>
    </w:p>
    <w:p>
      <w:pPr>
        <w:pStyle w:val="ListParagraph"/>
        <w:numPr>
          <w:ilvl w:val="0"/>
          <w:numId w:val="1"/>
        </w:numPr>
        <w:spacing w:after="80"/>
      </w:pPr>
      <w:r>
        <w:rPr>
          <w:sz w:val="21"/>
          <w:szCs w:val="21"/>
        </w:rPr>
        <w:t xml:space="preserve">November and December consistently generate the highest sales of the year (avg ₹87,500 and ₹80,400) across all four years on record — this is a genuine, repeating seasonal pattern, not a one-off.</w:t>
      </w:r>
    </w:p>
    <w:p>
      <w:pPr>
        <w:pStyle w:val="ListParagraph"/>
        <w:numPr>
          <w:ilvl w:val="0"/>
          <w:numId w:val="1"/>
        </w:numPr>
        <w:spacing w:after="80"/>
      </w:pPr>
      <w:r>
        <w:rPr>
          <w:sz w:val="21"/>
          <w:szCs w:val="21"/>
        </w:rPr>
        <w:t xml:space="preserve">Of the three forecasting models tested (SARIMA, Prophet, XGBoost), XGBoost gave the most accurate predictions on average (about 19% average error), though SARIMA was safer against one very bad month, and Prophet's December estimate was the closest of all three individually.</w:t>
      </w:r>
    </w:p>
    <w:p>
      <w:pPr>
        <w:spacing w:after="80" w:before="200"/>
      </w:pPr>
      <w:r>
        <w:rPr>
          <w:b/>
          <w:bCs/>
          <w:sz w:val="24"/>
          <w:szCs w:val="24"/>
        </w:rPr>
        <w:t xml:space="preserve">3-Month Sales Forecast (Jan - Mar 2019)</w:t>
      </w:r>
    </w:p>
    <w:p>
      <w:pPr>
        <w:spacing w:after="140"/>
        <w:jc w:val="both"/>
      </w:pPr>
      <w:r>
        <w:rPr>
          <w:sz w:val="21"/>
          <w:szCs w:val="21"/>
        </w:rPr>
        <w:t xml:space="preserve">Looking ahead to the next quarter, we expect monthly sales to sit noticeably below the Nov-Dec peak — this is expected, since January and February are historically the two slowest months of the year in every year on record. Our estimate, with a realistic margin of error based on how far off these models have been in the past: January around ₹45,000-52,000 (could range ₹21,000-83,000); February around ₹26,000-38,000, the low point of the quarter (could range ₹7,000-69,000); March recovering to around ₹55,000-72,000 (could range ₹41,000-103,000) as the spring pickup begins. Given the width of these ranges, we'd recommend treating the lower end as the safe planning number for stock commitments and refreshing this forecast once actual January numbers come in.</w:t>
      </w:r>
    </w:p>
    <w:p>
      <w:pPr>
        <w:spacing w:after="80" w:before="200"/>
      </w:pPr>
      <w:r>
        <w:rPr>
          <w:b/>
          <w:bCs/>
          <w:sz w:val="24"/>
          <w:szCs w:val="24"/>
        </w:rPr>
        <w:t xml:space="preserve">Top Anomalies Detected</w:t>
      </w:r>
    </w:p>
    <w:p>
      <w:pPr>
        <w:pStyle w:val="ListParagraph"/>
        <w:numPr>
          <w:ilvl w:val="0"/>
          <w:numId w:val="1"/>
        </w:numPr>
        <w:spacing w:after="80"/>
      </w:pPr>
      <w:r>
        <w:rPr>
          <w:sz w:val="21"/>
          <w:szCs w:val="21"/>
        </w:rPr>
        <w:t xml:space="preserve">Week of 22 Mar 2015 — sales spiked to ₹37,700, more than 4x a typical week that month, and was flagged by both detection methods used. Most likely a single large bulk or corporate order rather than a genuine demand shift.</w:t>
      </w:r>
    </w:p>
    <w:p>
      <w:pPr>
        <w:pStyle w:val="ListParagraph"/>
        <w:numPr>
          <w:ilvl w:val="0"/>
          <w:numId w:val="1"/>
        </w:numPr>
        <w:spacing w:after="80"/>
      </w:pPr>
      <w:r>
        <w:rPr>
          <w:sz w:val="21"/>
          <w:szCs w:val="21"/>
        </w:rPr>
        <w:t xml:space="preserve">Week of 8 Oct 2017 — sales jumped to ₹28,400, also flagged by both methods. Likely an early promotional push ahead of the holiday season.</w:t>
      </w:r>
    </w:p>
    <w:p>
      <w:pPr>
        <w:pStyle w:val="ListParagraph"/>
        <w:numPr>
          <w:ilvl w:val="0"/>
          <w:numId w:val="1"/>
        </w:numPr>
        <w:spacing w:after="80"/>
      </w:pPr>
      <w:r>
        <w:rPr>
          <w:sz w:val="21"/>
          <w:szCs w:val="21"/>
        </w:rPr>
        <w:t xml:space="preserve">Several near-zero sales weeks in Jan-Feb 2015 — most likely reflects the business still ramping up in its first year on record, rather than a genuine demand collapse worth acting on today.</w:t>
      </w:r>
    </w:p>
    <w:p>
      <w:pPr>
        <w:spacing w:after="80" w:before="200"/>
      </w:pPr>
      <w:r>
        <w:rPr>
          <w:b/>
          <w:bCs/>
          <w:sz w:val="24"/>
          <w:szCs w:val="24"/>
        </w:rPr>
        <w:t xml:space="preserve">Product Demand Segmentation</w:t>
      </w:r>
    </w:p>
    <w:p>
      <w:pPr>
        <w:spacing w:after="140"/>
        <w:jc w:val="both"/>
      </w:pPr>
      <w:r>
        <w:rPr>
          <w:sz w:val="21"/>
          <w:szCs w:val="21"/>
        </w:rPr>
        <w:t xml:space="preserve">Grouping all 17 product sub-categories by sales volume, growth rate, and volatility surfaced four distinct demand profiles, each needing a different stocking approach:</w:t>
      </w:r>
    </w:p>
    <w:tbl>
      <w:tblPr>
        <w:tblW w:type="dxa" w:w="8900"/>
        <w:tblBorders>
          <w:top w:val="single" w:color="auto" w:sz="4"/>
          <w:left w:val="single" w:color="auto" w:sz="4"/>
          <w:bottom w:val="single" w:color="auto" w:sz="4"/>
          <w:right w:val="single" w:color="auto" w:sz="4"/>
          <w:insideH w:val="single" w:color="auto" w:sz="4"/>
          <w:insideV w:val="single" w:color="auto" w:sz="4"/>
        </w:tblBorders>
      </w:tblPr>
      <w:tblGrid>
        <w:gridCol w:w="2600"/>
        <w:gridCol w:w="2100"/>
        <w:gridCol w:w="2100"/>
        <w:gridCol w:w="2100"/>
      </w:tblGrid>
      <w:tr>
        <w:trPr>
          <w:tblHeader/>
        </w:trPr>
        <w:tc>
          <w:tcPr>
            <w:tcW w:type="dxa" w:w="2600"/>
            <w:shd w:fill="000000" w:val="clear"/>
            <w:tcMar>
              <w:top w:type="dxa" w:w="60"/>
              <w:left w:type="dxa" w:w="100"/>
              <w:bottom w:type="dxa" w:w="60"/>
              <w:right w:type="dxa" w:w="100"/>
            </w:tcMar>
            <w:vAlign w:val="center"/>
          </w:tcPr>
          <w:p>
            <w:r>
              <w:rPr>
                <w:b/>
                <w:bCs/>
                <w:color w:val="FFFFFF"/>
                <w:sz w:val="19"/>
                <w:szCs w:val="19"/>
              </w:rPr>
              <w:t xml:space="preserve">Cluster</w:t>
            </w:r>
          </w:p>
        </w:tc>
        <w:tc>
          <w:tcPr>
            <w:tcW w:type="dxa" w:w="2100"/>
            <w:shd w:fill="000000" w:val="clear"/>
            <w:tcMar>
              <w:top w:type="dxa" w:w="60"/>
              <w:left w:type="dxa" w:w="100"/>
              <w:bottom w:type="dxa" w:w="60"/>
              <w:right w:type="dxa" w:w="100"/>
            </w:tcMar>
            <w:vAlign w:val="center"/>
          </w:tcPr>
          <w:p>
            <w:r>
              <w:rPr>
                <w:b/>
                <w:bCs/>
                <w:color w:val="FFFFFF"/>
                <w:sz w:val="19"/>
                <w:szCs w:val="19"/>
              </w:rPr>
              <w:t xml:space="preserve">Growth</w:t>
            </w:r>
          </w:p>
        </w:tc>
        <w:tc>
          <w:tcPr>
            <w:tcW w:type="dxa" w:w="2100"/>
            <w:shd w:fill="000000" w:val="clear"/>
            <w:tcMar>
              <w:top w:type="dxa" w:w="60"/>
              <w:left w:type="dxa" w:w="100"/>
              <w:bottom w:type="dxa" w:w="60"/>
              <w:right w:type="dxa" w:w="100"/>
            </w:tcMar>
            <w:vAlign w:val="center"/>
          </w:tcPr>
          <w:p>
            <w:r>
              <w:rPr>
                <w:b/>
                <w:bCs/>
                <w:color w:val="FFFFFF"/>
                <w:sz w:val="19"/>
                <w:szCs w:val="19"/>
              </w:rPr>
              <w:t xml:space="preserve">Volatility</w:t>
            </w:r>
          </w:p>
        </w:tc>
        <w:tc>
          <w:tcPr>
            <w:tcW w:type="dxa" w:w="2100"/>
            <w:shd w:fill="000000" w:val="clear"/>
            <w:tcMar>
              <w:top w:type="dxa" w:w="60"/>
              <w:left w:type="dxa" w:w="100"/>
              <w:bottom w:type="dxa" w:w="60"/>
              <w:right w:type="dxa" w:w="100"/>
            </w:tcMar>
            <w:vAlign w:val="center"/>
          </w:tcPr>
          <w:p>
            <w:r>
              <w:rPr>
                <w:b/>
                <w:bCs/>
                <w:color w:val="FFFFFF"/>
                <w:sz w:val="19"/>
                <w:szCs w:val="19"/>
              </w:rPr>
              <w:t xml:space="preserve">Stocking Strategy</w:t>
            </w:r>
          </w:p>
        </w:tc>
      </w:tr>
      <w:tr>
        <w:tc>
          <w:tcPr>
            <w:tcW w:type="dxa" w:w="2600"/>
            <w:tcMar>
              <w:top w:type="dxa" w:w="60"/>
              <w:left w:type="dxa" w:w="100"/>
              <w:bottom w:type="dxa" w:w="60"/>
              <w:right w:type="dxa" w:w="100"/>
            </w:tcMar>
            <w:vAlign w:val="center"/>
          </w:tcPr>
          <w:p>
            <w:r>
              <w:rPr>
                <w:b w:val="false"/>
                <w:bCs w:val="false"/>
                <w:sz w:val="19"/>
                <w:szCs w:val="19"/>
              </w:rPr>
              <w:t xml:space="preserve">High Volume, Growing</w:t>
            </w:r>
          </w:p>
        </w:tc>
        <w:tc>
          <w:tcPr>
            <w:tcW w:type="dxa" w:w="2100"/>
            <w:tcMar>
              <w:top w:type="dxa" w:w="60"/>
              <w:left w:type="dxa" w:w="100"/>
              <w:bottom w:type="dxa" w:w="60"/>
              <w:right w:type="dxa" w:w="100"/>
            </w:tcMar>
            <w:vAlign w:val="center"/>
          </w:tcPr>
          <w:p>
            <w:r>
              <w:rPr>
                <w:b w:val="false"/>
                <w:bCs w:val="false"/>
                <w:sz w:val="19"/>
                <w:szCs w:val="19"/>
              </w:rPr>
              <w:t xml:space="preserve">+55%</w:t>
            </w:r>
          </w:p>
        </w:tc>
        <w:tc>
          <w:tcPr>
            <w:tcW w:type="dxa" w:w="2100"/>
            <w:tcMar>
              <w:top w:type="dxa" w:w="60"/>
              <w:left w:type="dxa" w:w="100"/>
              <w:bottom w:type="dxa" w:w="60"/>
              <w:right w:type="dxa" w:w="100"/>
            </w:tcMar>
            <w:vAlign w:val="center"/>
          </w:tcPr>
          <w:p>
            <w:r>
              <w:rPr>
                <w:b w:val="false"/>
                <w:bCs w:val="false"/>
                <w:sz w:val="19"/>
                <w:szCs w:val="19"/>
              </w:rPr>
              <w:t xml:space="preserve">Moderate</w:t>
            </w:r>
          </w:p>
        </w:tc>
        <w:tc>
          <w:tcPr>
            <w:tcW w:type="dxa" w:w="2100"/>
            <w:tcMar>
              <w:top w:type="dxa" w:w="60"/>
              <w:left w:type="dxa" w:w="100"/>
              <w:bottom w:type="dxa" w:w="60"/>
              <w:right w:type="dxa" w:w="100"/>
            </w:tcMar>
            <w:vAlign w:val="center"/>
          </w:tcPr>
          <w:p>
            <w:r>
              <w:rPr>
                <w:b w:val="false"/>
                <w:bCs w:val="false"/>
                <w:sz w:val="19"/>
                <w:szCs w:val="19"/>
              </w:rPr>
              <w:t xml:space="preserve">Maintain safety stock</w:t>
            </w:r>
          </w:p>
        </w:tc>
      </w:tr>
      <w:tr>
        <w:tc>
          <w:tcPr>
            <w:tcW w:type="dxa" w:w="2600"/>
            <w:tcMar>
              <w:top w:type="dxa" w:w="60"/>
              <w:left w:type="dxa" w:w="100"/>
              <w:bottom w:type="dxa" w:w="60"/>
              <w:right w:type="dxa" w:w="100"/>
            </w:tcMar>
            <w:vAlign w:val="center"/>
          </w:tcPr>
          <w:p>
            <w:r>
              <w:rPr>
                <w:b w:val="false"/>
                <w:bCs w:val="false"/>
                <w:sz w:val="19"/>
                <w:szCs w:val="19"/>
              </w:rPr>
              <w:t xml:space="preserve">Low Volume, Stable</w:t>
            </w:r>
          </w:p>
        </w:tc>
        <w:tc>
          <w:tcPr>
            <w:tcW w:type="dxa" w:w="2100"/>
            <w:tcMar>
              <w:top w:type="dxa" w:w="60"/>
              <w:left w:type="dxa" w:w="100"/>
              <w:bottom w:type="dxa" w:w="60"/>
              <w:right w:type="dxa" w:w="100"/>
            </w:tcMar>
            <w:vAlign w:val="center"/>
          </w:tcPr>
          <w:p>
            <w:r>
              <w:rPr>
                <w:b w:val="false"/>
                <w:bCs w:val="false"/>
                <w:sz w:val="19"/>
                <w:szCs w:val="19"/>
              </w:rPr>
              <w:t xml:space="preserve">+60%</w:t>
            </w:r>
          </w:p>
        </w:tc>
        <w:tc>
          <w:tcPr>
            <w:tcW w:type="dxa" w:w="2100"/>
            <w:tcMar>
              <w:top w:type="dxa" w:w="60"/>
              <w:left w:type="dxa" w:w="100"/>
              <w:bottom w:type="dxa" w:w="60"/>
              <w:right w:type="dxa" w:w="100"/>
            </w:tcMar>
            <w:vAlign w:val="center"/>
          </w:tcPr>
          <w:p>
            <w:r>
              <w:rPr>
                <w:b w:val="false"/>
                <w:bCs w:val="false"/>
                <w:sz w:val="19"/>
                <w:szCs w:val="19"/>
              </w:rPr>
              <w:t xml:space="preserve">Low</w:t>
            </w:r>
          </w:p>
        </w:tc>
        <w:tc>
          <w:tcPr>
            <w:tcW w:type="dxa" w:w="2100"/>
            <w:tcMar>
              <w:top w:type="dxa" w:w="60"/>
              <w:left w:type="dxa" w:w="100"/>
              <w:bottom w:type="dxa" w:w="60"/>
              <w:right w:type="dxa" w:w="100"/>
            </w:tcMar>
            <w:vAlign w:val="center"/>
          </w:tcPr>
          <w:p>
            <w:r>
              <w:rPr>
                <w:b w:val="false"/>
                <w:bCs w:val="false"/>
                <w:sz w:val="19"/>
                <w:szCs w:val="19"/>
              </w:rPr>
              <w:t xml:space="preserve">Lean / just-in-time</w:t>
            </w:r>
          </w:p>
        </w:tc>
      </w:tr>
      <w:tr>
        <w:tc>
          <w:tcPr>
            <w:tcW w:type="dxa" w:w="2600"/>
            <w:tcMar>
              <w:top w:type="dxa" w:w="60"/>
              <w:left w:type="dxa" w:w="100"/>
              <w:bottom w:type="dxa" w:w="60"/>
              <w:right w:type="dxa" w:w="100"/>
            </w:tcMar>
            <w:vAlign w:val="center"/>
          </w:tcPr>
          <w:p>
            <w:r>
              <w:rPr>
                <w:b w:val="false"/>
                <w:bCs w:val="false"/>
                <w:sz w:val="19"/>
                <w:szCs w:val="19"/>
              </w:rPr>
              <w:t xml:space="preserve">Copiers (growing)</w:t>
            </w:r>
          </w:p>
        </w:tc>
        <w:tc>
          <w:tcPr>
            <w:tcW w:type="dxa" w:w="2100"/>
            <w:tcMar>
              <w:top w:type="dxa" w:w="60"/>
              <w:left w:type="dxa" w:w="100"/>
              <w:bottom w:type="dxa" w:w="60"/>
              <w:right w:type="dxa" w:w="100"/>
            </w:tcMar>
            <w:vAlign w:val="center"/>
          </w:tcPr>
          <w:p>
            <w:r>
              <w:rPr>
                <w:b w:val="false"/>
                <w:bCs w:val="false"/>
                <w:sz w:val="19"/>
                <w:szCs w:val="19"/>
              </w:rPr>
              <w:t xml:space="preserve">+480%</w:t>
            </w:r>
          </w:p>
        </w:tc>
        <w:tc>
          <w:tcPr>
            <w:tcW w:type="dxa" w:w="2100"/>
            <w:tcMar>
              <w:top w:type="dxa" w:w="60"/>
              <w:left w:type="dxa" w:w="100"/>
              <w:bottom w:type="dxa" w:w="60"/>
              <w:right w:type="dxa" w:w="100"/>
            </w:tcMar>
            <w:vAlign w:val="center"/>
          </w:tcPr>
          <w:p>
            <w:r>
              <w:rPr>
                <w:b w:val="false"/>
                <w:bCs w:val="false"/>
                <w:sz w:val="19"/>
                <w:szCs w:val="19"/>
              </w:rPr>
              <w:t xml:space="preserve">High</w:t>
            </w:r>
          </w:p>
        </w:tc>
        <w:tc>
          <w:tcPr>
            <w:tcW w:type="dxa" w:w="2100"/>
            <w:tcMar>
              <w:top w:type="dxa" w:w="60"/>
              <w:left w:type="dxa" w:w="100"/>
              <w:bottom w:type="dxa" w:w="60"/>
              <w:right w:type="dxa" w:w="100"/>
            </w:tcMar>
            <w:vAlign w:val="center"/>
          </w:tcPr>
          <w:p>
            <w:r>
              <w:rPr>
                <w:b w:val="false"/>
                <w:bCs w:val="false"/>
                <w:sz w:val="19"/>
                <w:szCs w:val="19"/>
              </w:rPr>
              <w:t xml:space="preserve">Re-forecast quarterly</w:t>
            </w:r>
          </w:p>
        </w:tc>
      </w:tr>
      <w:tr>
        <w:tc>
          <w:tcPr>
            <w:tcW w:type="dxa" w:w="2600"/>
            <w:tcMar>
              <w:top w:type="dxa" w:w="60"/>
              <w:left w:type="dxa" w:w="100"/>
              <w:bottom w:type="dxa" w:w="60"/>
              <w:right w:type="dxa" w:w="100"/>
            </w:tcMar>
            <w:vAlign w:val="center"/>
          </w:tcPr>
          <w:p>
            <w:r>
              <w:rPr>
                <w:b w:val="false"/>
                <w:bCs w:val="false"/>
                <w:sz w:val="19"/>
                <w:szCs w:val="19"/>
              </w:rPr>
              <w:t xml:space="preserve">Machines (declining)</w:t>
            </w:r>
          </w:p>
        </w:tc>
        <w:tc>
          <w:tcPr>
            <w:tcW w:type="dxa" w:w="2100"/>
            <w:tcMar>
              <w:top w:type="dxa" w:w="60"/>
              <w:left w:type="dxa" w:w="100"/>
              <w:bottom w:type="dxa" w:w="60"/>
              <w:right w:type="dxa" w:w="100"/>
            </w:tcMar>
            <w:vAlign w:val="center"/>
          </w:tcPr>
          <w:p>
            <w:r>
              <w:rPr>
                <w:b w:val="false"/>
                <w:bCs w:val="false"/>
                <w:sz w:val="19"/>
                <w:szCs w:val="19"/>
              </w:rPr>
              <w:t xml:space="preserve">-30%</w:t>
            </w:r>
          </w:p>
        </w:tc>
        <w:tc>
          <w:tcPr>
            <w:tcW w:type="dxa" w:w="2100"/>
            <w:tcMar>
              <w:top w:type="dxa" w:w="60"/>
              <w:left w:type="dxa" w:w="100"/>
              <w:bottom w:type="dxa" w:w="60"/>
              <w:right w:type="dxa" w:w="100"/>
            </w:tcMar>
            <w:vAlign w:val="center"/>
          </w:tcPr>
          <w:p>
            <w:r>
              <w:rPr>
                <w:b w:val="false"/>
                <w:bCs w:val="false"/>
                <w:sz w:val="19"/>
                <w:szCs w:val="19"/>
              </w:rPr>
              <w:t xml:space="preserve">High</w:t>
            </w:r>
          </w:p>
        </w:tc>
        <w:tc>
          <w:tcPr>
            <w:tcW w:type="dxa" w:w="2100"/>
            <w:tcMar>
              <w:top w:type="dxa" w:w="60"/>
              <w:left w:type="dxa" w:w="100"/>
              <w:bottom w:type="dxa" w:w="60"/>
              <w:right w:type="dxa" w:w="100"/>
            </w:tcMar>
            <w:vAlign w:val="center"/>
          </w:tcPr>
          <w:p>
            <w:r>
              <w:rPr>
                <w:b w:val="false"/>
                <w:bCs w:val="false"/>
                <w:sz w:val="19"/>
                <w:szCs w:val="19"/>
              </w:rPr>
              <w:t xml:space="preserve">Wind down stock</w:t>
            </w:r>
          </w:p>
        </w:tc>
      </w:tr>
    </w:tbl>
    <w:p>
      <w:pPr>
        <w:spacing w:before="160"/>
      </w:pPr>
    </w:p>
    <w:p>
      <w:pPr>
        <w:spacing w:after="80" w:before="200"/>
      </w:pPr>
      <w:r>
        <w:rPr>
          <w:b/>
          <w:bCs/>
          <w:sz w:val="24"/>
          <w:szCs w:val="24"/>
        </w:rPr>
        <w:t xml:space="preserve">Business Recommendations</w:t>
      </w:r>
    </w:p>
    <w:p>
      <w:pPr>
        <w:pStyle w:val="ListParagraph"/>
        <w:numPr>
          <w:ilvl w:val="0"/>
          <w:numId w:val="1"/>
        </w:numPr>
        <w:spacing w:after="80"/>
      </w:pPr>
      <w:r>
        <w:rPr>
          <w:sz w:val="21"/>
          <w:szCs w:val="21"/>
        </w:rPr>
        <w:t xml:space="preserve">Prioritize inventory investment in the East region — it is the only region with a clean, consistent growth trend across all four years, making it the lowest-risk place to expand stock ahead of demand.</w:t>
      </w:r>
    </w:p>
    <w:p>
      <w:pPr>
        <w:pStyle w:val="ListParagraph"/>
        <w:numPr>
          <w:ilvl w:val="0"/>
          <w:numId w:val="1"/>
        </w:numPr>
        <w:spacing w:after="80"/>
      </w:pPr>
      <w:r>
        <w:rPr>
          <w:sz w:val="21"/>
          <w:szCs w:val="21"/>
        </w:rPr>
        <w:t xml:space="preserve">Build November-December staffing and stock plans specifically around the confirmed holiday spike — since this pattern has repeated without fail every year on record, planning Q4 around an "average month" risks real stockouts during the business's two biggest months.</w:t>
      </w:r>
    </w:p>
    <w:p>
      <w:pPr>
        <w:pStyle w:val="ListParagraph"/>
        <w:numPr>
          <w:ilvl w:val="0"/>
          <w:numId w:val="1"/>
        </w:numPr>
        <w:spacing w:after="80"/>
      </w:pPr>
      <w:r>
        <w:rPr>
          <w:sz w:val="21"/>
          <w:szCs w:val="21"/>
        </w:rPr>
        <w:t xml:space="preserve">Re-evaluate Machines inventory levels — this sub-category is on a declining trend (-30%) while tying up significant capital per order; reinvesting that capital into growing lines like Copiers or the core high-volume products would likely deliver a better return.</w:t>
      </w:r>
    </w:p>
    <w:p>
      <w:pPr>
        <w:spacing w:after="80" w:before="200"/>
      </w:pPr>
      <w:r>
        <w:rPr>
          <w:b/>
          <w:bCs/>
          <w:sz w:val="24"/>
          <w:szCs w:val="24"/>
        </w:rPr>
        <w:t xml:space="preserve">Risk &amp; Limitation</w:t>
      </w:r>
    </w:p>
    <w:p>
      <w:pPr>
        <w:spacing w:after="140"/>
        <w:jc w:val="both"/>
      </w:pPr>
      <w:r>
        <w:rPr>
          <w:sz w:val="21"/>
          <w:szCs w:val="21"/>
        </w:rPr>
        <w:t xml:space="preserve">All three forecasting models were trained on only 45-48 months of sales history, which is a fairly small dataset for the machine-learning based approach in particular. Predictions become noticeably less reliable more than a few months out, and none of the models have been tested against a major disruption (a supply shock, a new competitor, a pricing change) since nothing like that occurred during the period we have data for. These forecasts should be refreshed monthly as new actual sales come in, not treated as a fixed plan for the full year.</w:t>
      </w:r>
    </w:p>
    <w:p>
      <w:pPr>
        <w:spacing w:after="80" w:before="200"/>
      </w:pPr>
      <w:r>
        <w:rPr>
          <w:b/>
          <w:bCs/>
          <w:sz w:val="24"/>
          <w:szCs w:val="24"/>
        </w:rPr>
        <w:t xml:space="preserve">Note on the Supplementary Dataset</w:t>
      </w:r>
    </w:p>
    <w:p>
      <w:pPr>
        <w:spacing w:after="140"/>
        <w:jc w:val="both"/>
      </w:pPr>
      <w:r>
        <w:rPr>
          <w:sz w:val="21"/>
          <w:szCs w:val="21"/>
        </w:rPr>
        <w:t xml:space="preserve">The project brief also provided a video game sales dataset (vgsales.csv) as supplementary, intended for merging practice. It was not merged into this analysis: the two datasets share no meaningful join key (Superstore is daily transaction data, vgsales only has a game's release year, with near-zero coverage after 2016), so a merge would not have produced any analytically useful result for this report.</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2026-07-11T14:05:04.965Z</dcterms:created>
  <dcterms:modified xsi:type="dcterms:W3CDTF">2026-07-11T14:05:04.980Z</dcterms:modified>
</cp:coreProperties>
</file>

<file path=docProps/custom.xml><?xml version="1.0" encoding="utf-8"?>
<Properties xmlns="http://schemas.openxmlformats.org/officeDocument/2006/custom-properties" xmlns:vt="http://schemas.openxmlformats.org/officeDocument/2006/docPropsVTypes"/>
</file>