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Serverless Office Converter</w:t>
      </w:r>
    </w:p>
    <w:p>
      <w:r>
        <w:t xml:space="preserve">This document was converted by </w:t>
      </w:r>
      <w:r>
        <w:rPr>
          <w:b/>
        </w:rPr>
        <w:t>LibreOffice compiled to WebAssembly</w:t>
      </w:r>
      <w:r>
        <w:t>, running entirely in the browser. Zażółć gęślą jaźń — ünïcødé ✓.</w:t>
      </w:r>
    </w:p>
    <w:p>
      <w:pPr>
        <w:pStyle w:val="Heading1"/>
      </w:pPr>
      <w:r>
        <w:t>A table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R1C1</w:t>
            </w:r>
          </w:p>
        </w:tc>
        <w:tc>
          <w:tcPr>
            <w:tcW w:type="dxa" w:w="2880"/>
          </w:tcPr>
          <w:p>
            <w:r>
              <w:t>R1C2</w:t>
            </w:r>
          </w:p>
        </w:tc>
        <w:tc>
          <w:tcPr>
            <w:tcW w:type="dxa" w:w="2880"/>
          </w:tcPr>
          <w:p>
            <w:r>
              <w:t>R1C3</w:t>
            </w:r>
          </w:p>
        </w:tc>
      </w:tr>
      <w:tr>
        <w:tc>
          <w:tcPr>
            <w:tcW w:type="dxa" w:w="2880"/>
          </w:tcPr>
          <w:p>
            <w:r>
              <w:t>R2C1</w:t>
            </w:r>
          </w:p>
        </w:tc>
        <w:tc>
          <w:tcPr>
            <w:tcW w:type="dxa" w:w="2880"/>
          </w:tcPr>
          <w:p>
            <w:r>
              <w:t>R2C2</w:t>
            </w:r>
          </w:p>
        </w:tc>
        <w:tc>
          <w:tcPr>
            <w:tcW w:type="dxa" w:w="2880"/>
          </w:tcPr>
          <w:p>
            <w:r>
              <w:t>R2C3</w:t>
            </w:r>
          </w:p>
        </w:tc>
      </w:tr>
      <w:tr>
        <w:tc>
          <w:tcPr>
            <w:tcW w:type="dxa" w:w="2880"/>
          </w:tcPr>
          <w:p>
            <w:r>
              <w:t>R3C1</w:t>
            </w:r>
          </w:p>
        </w:tc>
        <w:tc>
          <w:tcPr>
            <w:tcW w:type="dxa" w:w="2880"/>
          </w:tcPr>
          <w:p>
            <w:r>
              <w:t>R3C2</w:t>
            </w:r>
          </w:p>
        </w:tc>
        <w:tc>
          <w:tcPr>
            <w:tcW w:type="dxa" w:w="2880"/>
          </w:tcPr>
          <w:p>
            <w:r>
              <w:t>R3C3</w:t>
            </w:r>
          </w:p>
        </w:tc>
      </w:tr>
    </w:tbl>
    <w:p>
      <w:pPr>
        <w:pStyle w:val="ListBullet"/>
      </w:pPr>
      <w:r>
        <w:t>First bullet</w:t>
      </w:r>
    </w:p>
    <w:p>
      <w:pPr>
        <w:pStyle w:val="ListBullet"/>
      </w:pPr>
      <w:r>
        <w:t>Second bullet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