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Technologies Inc. — Q1 2026 Quarterly Report</w:t>
      </w:r>
    </w:p>
    <w:p>
      <w:pPr>
        <w:pStyle w:val="Heading1"/>
      </w:pPr>
      <w:r>
        <w:t>Executive Summary</w:t>
      </w:r>
    </w:p>
    <w:p>
      <w:r>
        <w:rPr>
          <w:sz w:val="22"/>
        </w:rPr>
        <w:t>Meridian Technologies delivered strong results in Q1 2026, with total revenue reaching $47.3 million, representing a 23% increase compared to Q1 2025 ($38.4 million) and an 8% sequential increase from Q4 2025 ($43.8 million). The growth was primarily driven by expansion in the Enterprise SaaS segment and successful launch of the DataSync Pro product line.</w:t>
      </w:r>
    </w:p>
    <w:p>
      <w:r>
        <w:rPr>
          <w:sz w:val="22"/>
        </w:rPr>
        <w:t>Net income for the quarter was $6.2 million, up from $4.1 million in Q1 2025 (a 51% year-over-year increase). The improvement in profitability was driven by operating leverage from the SaaS segment's 78% gross margin combined with disciplined cost management. Operating expenses grew at 15%, well below the revenue growth rate.</w:t>
      </w:r>
    </w:p>
    <w:p>
      <w:r>
        <w:rPr>
          <w:sz w:val="22"/>
        </w:rPr>
        <w:t>The company ended Q1 2026 with 1,247 employees globally, up from 1,089 at the end of Q1 2025. Cash and cash equivalents stood at $82.5 million, providing approximately 18 months of operating runway at current burn rates.</w:t>
      </w:r>
    </w:p>
    <w:p>
      <w:pPr>
        <w:pStyle w:val="Heading1"/>
      </w:pPr>
      <w:r>
        <w:t>Revenue Breakdown by Segment</w:t>
      </w:r>
    </w:p>
    <w:p>
      <w:r>
        <w:rPr>
          <w:sz w:val="22"/>
        </w:rPr>
        <w:t>Meridian Technologies operates in three business segments: Enterprise SaaS, Professional Services, and Data Infrastructure.</w:t>
      </w:r>
    </w:p>
    <w:p>
      <w:r>
        <w:rPr>
          <w:sz w:val="22"/>
        </w:rPr>
        <w:t>Enterprise SaaS: Revenue of $28.7 million (61% of total), up 31% year-over-year from $21.9 million. Annual Recurring Revenue (ARR) reached $118.4 million at quarter end, with a net revenue retention rate of 124%. The segment added 47 new enterprise customers, bringing the total to 312 enterprise accounts. Average contract value (ACV) increased to $379,000, up from $342,000 in Q1 2025.</w:t>
      </w:r>
    </w:p>
    <w:p>
      <w:r>
        <w:rPr>
          <w:sz w:val="22"/>
        </w:rPr>
        <w:t>Professional Services: Revenue of $11.2 million (24% of total), up 12% year-over-year from $10.0 million. The segment completed 23 implementation projects during the quarter with an average project duration of 8.3 weeks. Customer satisfaction scores averaged 4.6 out of 5.0 across completed projects. Utilization rate for the professional services team was 81%, up from 76% in the prior year.</w:t>
      </w:r>
    </w:p>
    <w:p>
      <w:r>
        <w:rPr>
          <w:sz w:val="22"/>
        </w:rPr>
        <w:t>Data Infrastructure: Revenue of $7.4 million (15% of total), up 14% year-over-year from $6.5 million. The DataSync Pro product, launched in January 2026, contributed $2.1 million in its first full quarter, exceeding the internal forecast of $1.5 million. Legacy DataSync Classic revenue declined 8% to $5.3 million as expected, with the planned end-of-life date set for December 2026.</w:t>
      </w:r>
    </w:p>
    <w:p>
      <w:pPr>
        <w:pStyle w:val="Heading1"/>
      </w:pPr>
      <w:r>
        <w:t>Geographic Revenue Distribution</w:t>
      </w:r>
    </w:p>
    <w:p>
      <w:r>
        <w:rPr>
          <w:sz w:val="22"/>
        </w:rPr>
        <w:t>North America remains the largest market, contributing $31.2 million (66% of total revenue), up 20% year-over-year. The United States accounted for $28.4 million and Canada for $2.8 million.</w:t>
      </w:r>
    </w:p>
    <w:p>
      <w:r>
        <w:rPr>
          <w:sz w:val="22"/>
        </w:rPr>
        <w:t>Europe, Middle East, and Africa (EMEA) contributed $10.9 million (23% of total), up 28% year-over-year driven by strong adoption in the United Kingdom ($4.2 million), Germany ($3.1 million), and the Nordic countries ($1.8 million). The company opened a new office in Berlin in February 2026 with an initial team of 15 employees.</w:t>
      </w:r>
    </w:p>
    <w:p>
      <w:r>
        <w:rPr>
          <w:sz w:val="22"/>
        </w:rPr>
        <w:t>Asia-Pacific (APAC) contributed $5.2 million (11% of total), up 35% year-over-year. Japan ($2.7 million) and Australia ($1.5 million) were the largest markets. The APAC growth was fueled by a partnership with Nomura Systems for distribution in Japan, signed in Q4 2025.</w:t>
      </w:r>
    </w:p>
    <w:p>
      <w:pPr>
        <w:pStyle w:val="Heading1"/>
      </w:pPr>
      <w:r>
        <w:t>Customer Metrics</w:t>
      </w:r>
    </w:p>
    <w:p>
      <w:r>
        <w:rPr>
          <w:sz w:val="22"/>
        </w:rPr>
        <w:t>Total customers at the end of Q1 2026: 2,847 (up from 2,391 at end of Q1 2025, a 19% increase).</w:t>
      </w:r>
    </w:p>
    <w:p>
      <w:r>
        <w:rPr>
          <w:sz w:val="22"/>
        </w:rPr>
        <w:t>Customer breakdown by segment:</w:t>
        <w:br/>
        <w:t>- Enterprise (ARR &gt; $100K): 312 customers (up from 258)</w:t>
        <w:br/>
        <w:t>- Mid-Market ($25K-$100K ARR): 876 customers (up from 742)</w:t>
        <w:br/>
        <w:t>- SMB (&lt; $25K ARR): 1,659 customers (up from 1,391)</w:t>
      </w:r>
    </w:p>
    <w:p>
      <w:r>
        <w:rPr>
          <w:sz w:val="22"/>
        </w:rPr>
        <w:t>Net Promoter Score (NPS): 62, up from 57 in Q1 2025. The improvement was attributed to the redesigned onboarding experience launched in Q4 2025, which reduced time-to-value from 14 days to 6 days.</w:t>
      </w:r>
    </w:p>
    <w:p>
      <w:r>
        <w:rPr>
          <w:sz w:val="22"/>
        </w:rPr>
        <w:t>Customer churn rate: 1.8% quarterly gross churn (annualized 7.0%), down from 2.3% in Q1 2025. Enterprise churn was 0.4% quarterly, while SMB churn was 2.8% quarterly. The company's Customer Success team now manages all Enterprise and Mid-Market accounts proactively.</w:t>
      </w:r>
    </w:p>
    <w:p>
      <w:r>
        <w:rPr>
          <w:sz w:val="22"/>
        </w:rPr>
        <w:t>Logo churn by reason (Q1 2026):</w:t>
        <w:br/>
        <w:t>- Budget constraints: 38%</w:t>
        <w:br/>
        <w:t>- Competitor switch: 22%</w:t>
        <w:br/>
        <w:t>- Business closure: 18%</w:t>
        <w:br/>
        <w:t>- Product fit: 14%</w:t>
        <w:br/>
        <w:t>- Other: 8%</w:t>
      </w:r>
    </w:p>
    <w:p>
      <w:pPr>
        <w:pStyle w:val="Heading1"/>
      </w:pPr>
      <w:r>
        <w:t>Product Development</w:t>
      </w:r>
    </w:p>
    <w:p>
      <w:r>
        <w:rPr>
          <w:sz w:val="22"/>
        </w:rPr>
        <w:t>The engineering team shipped 3 major releases in Q1 2026:</w:t>
      </w:r>
    </w:p>
    <w:p>
      <w:r>
        <w:rPr>
          <w:sz w:val="22"/>
        </w:rPr>
        <w:t>Release 4.2 (January 15): Introduced real-time collaboration features including simultaneous editing, commenting, and presence indicators. This feature was the number-one customer request in the 2025 annual survey (requested by 67% of Enterprise customers). Early adoption data shows 42% of Enterprise customers activated collaboration within the first month.</w:t>
      </w:r>
    </w:p>
    <w:p>
      <w:r>
        <w:rPr>
          <w:sz w:val="22"/>
        </w:rPr>
        <w:t>Release 4.3 (February 28): Added advanced analytics dashboard with customizable widgets, scheduled reports, and anomaly detection. The analytics engine processes data in under 200 milliseconds for datasets up to 10 million rows. Customer feedback indicates a 34% reduction in time spent generating compliance reports.</w:t>
      </w:r>
    </w:p>
    <w:p>
      <w:r>
        <w:rPr>
          <w:sz w:val="22"/>
        </w:rPr>
        <w:t>Release 4.4 (March 20): Security enhancements including SOC 2 Type II compliance certification, enhanced audit logging, and support for customer-managed encryption keys (CMEK). The SOC 2 certification was a prerequisite for 15 enterprise deals in the pipeline worth approximately $4.2 million in ARR.</w:t>
      </w:r>
    </w:p>
    <w:p>
      <w:r>
        <w:rPr>
          <w:sz w:val="22"/>
        </w:rPr>
        <w:t>DataSync Pro was launched on January 8, 2026 with the following capabilities: bi-directional sync between 23 data sources, conflict resolution with customizable rules, real-time change data capture (CDC), and a visual pipeline builder. Initial adoption exceeded expectations with 156 customers deploying DataSync Pro during Q1.</w:t>
      </w:r>
    </w:p>
    <w:p>
      <w:r>
        <w:rPr>
          <w:sz w:val="22"/>
        </w:rPr>
        <w:t>The R&amp;D team invested 18% of revenue ($8.5 million) in product development during Q1, slightly above the target of 17%. Headcount in engineering grew from 412 to 458, with a focus on hiring senior backend engineers and machine learning specialists.</w:t>
      </w:r>
    </w:p>
    <w:p>
      <w:pPr>
        <w:pStyle w:val="Heading1"/>
      </w:pPr>
      <w:r>
        <w:t>Financial Highlights</w:t>
      </w:r>
    </w:p>
    <w:p>
      <w:r>
        <w:rPr>
          <w:sz w:val="22"/>
        </w:rPr>
        <w:t>Income Statement Summary (Q1 2026 vs Q1 2025):</w:t>
      </w:r>
    </w:p>
    <w:p>
      <w:r>
        <w:rPr>
          <w:sz w:val="22"/>
        </w:rPr>
        <w:t>Total Revenue: $47.3M (Q1 2026) vs $38.4M (Q1 2025), +23% YoY</w:t>
        <w:br/>
        <w:t>Cost of Revenue: $14.2M vs $12.5M, +14% YoY</w:t>
        <w:br/>
        <w:t>Gross Profit: $33.1M vs $25.9M, +28% YoY</w:t>
        <w:br/>
        <w:t>Gross Margin: 70.0% vs 67.4%, +2.6 percentage points</w:t>
      </w:r>
    </w:p>
    <w:p>
      <w:r>
        <w:rPr>
          <w:sz w:val="22"/>
        </w:rPr>
        <w:t>Operating Expenses:</w:t>
        <w:br/>
        <w:t>- Sales &amp; Marketing: $12.8M vs $11.2M, +14% YoY</w:t>
        <w:br/>
        <w:t>- Research &amp; Development: $8.5M vs $7.3M, +16% YoY</w:t>
        <w:br/>
        <w:t>- General &amp; Administrative: $4.1M vs $3.7M, +11% YoY</w:t>
        <w:br/>
        <w:t>Total Operating Expenses: $25.4M vs $22.2M, +14% YoY</w:t>
      </w:r>
    </w:p>
    <w:p>
      <w:r>
        <w:rPr>
          <w:sz w:val="22"/>
        </w:rPr>
        <w:t>Operating Income: $7.7M vs $3.7M, +108% YoY</w:t>
        <w:br/>
        <w:t>Operating Margin: 16.3% vs 9.6%, +6.7 percentage points</w:t>
      </w:r>
    </w:p>
    <w:p>
      <w:r>
        <w:rPr>
          <w:sz w:val="22"/>
        </w:rPr>
        <w:t>Net Income: $6.2M vs $4.1M, +51% YoY</w:t>
        <w:br/>
        <w:t>Earnings Per Share (diluted): $0.41 vs $0.28</w:t>
      </w:r>
    </w:p>
    <w:p>
      <w:r>
        <w:rPr>
          <w:sz w:val="22"/>
        </w:rPr>
        <w:t>Balance Sheet Highlights:</w:t>
        <w:br/>
        <w:t>- Cash and cash equivalents: $82.5M</w:t>
        <w:br/>
        <w:t>- Total debt: $0 (the company is debt-free)</w:t>
        <w:br/>
        <w:t>- Accounts receivable: $18.7M (DSO of 36 days, improved from 42 days in Q1 2025)</w:t>
        <w:br/>
        <w:t>- Deferred revenue: $32.4M (up 29% YoY, indicating strong future revenue visibility)</w:t>
      </w:r>
    </w:p>
    <w:p>
      <w:pPr>
        <w:pStyle w:val="Heading1"/>
      </w:pPr>
      <w:r>
        <w:t>Headcount and Operations</w:t>
      </w:r>
    </w:p>
    <w:p>
      <w:r>
        <w:rPr>
          <w:sz w:val="22"/>
        </w:rPr>
        <w:t>Meridian Technologies ended Q1 2026 with 1,247 employees across 6 offices:</w:t>
      </w:r>
    </w:p>
    <w:p>
      <w:r>
        <w:rPr>
          <w:sz w:val="22"/>
        </w:rPr>
        <w:t>San Francisco (HQ): 524 employees</w:t>
        <w:br/>
        <w:t>Austin: 218 employees</w:t>
        <w:br/>
        <w:t>New York: 156 employees</w:t>
        <w:br/>
        <w:t>London: 142 employees</w:t>
        <w:br/>
        <w:t>Berlin (opened February 2026): 15 employees</w:t>
        <w:br/>
        <w:t>Toronto: 87 employees</w:t>
        <w:br/>
        <w:t>Remote (no office assignment): 105 employees</w:t>
      </w:r>
    </w:p>
    <w:p>
      <w:r>
        <w:rPr>
          <w:sz w:val="22"/>
        </w:rPr>
        <w:t>Department breakdown:</w:t>
        <w:br/>
        <w:t>- Engineering: 458 (36.7% of total)</w:t>
        <w:br/>
        <w:t>- Sales &amp; Marketing: 298 (23.9%)</w:t>
        <w:br/>
        <w:t>- Customer Success: 187 (15.0%)</w:t>
        <w:br/>
        <w:t>- General &amp; Administrative: 142 (11.4%)</w:t>
        <w:br/>
        <w:t>- Professional Services: 98 (7.9%)</w:t>
        <w:br/>
        <w:t>- Product Management: 64 (5.1%)</w:t>
      </w:r>
    </w:p>
    <w:p>
      <w:r>
        <w:rPr>
          <w:sz w:val="22"/>
        </w:rPr>
        <w:t>Employee engagement score (measured via quarterly Lattice survey): 4.2 out of 5.0, stable from Q4 2025. Voluntary attrition rate: 3.2% quarterly (annualized 12.4%), down from 4.1% in Q1 2025. The improvement was attributed to the revised compensation bands implemented in Q4 2025 and the expanded remote work policy.</w:t>
      </w:r>
    </w:p>
    <w:p>
      <w:r>
        <w:rPr>
          <w:sz w:val="22"/>
        </w:rPr>
        <w:t>The company plans to hire approximately 150 employees in Q2 2026, with 60% of positions in Engineering and Customer Success.</w:t>
      </w:r>
    </w:p>
    <w:p>
      <w:pPr>
        <w:pStyle w:val="Heading1"/>
      </w:pPr>
      <w:r>
        <w:t>Strategic Initiatives and Outlook</w:t>
      </w:r>
    </w:p>
    <w:p>
      <w:r>
        <w:rPr>
          <w:sz w:val="22"/>
        </w:rPr>
        <w:t>Three strategic initiatives are driving focus for the remainder of 2026:</w:t>
      </w:r>
    </w:p>
    <w:p>
      <w:r>
        <w:rPr>
          <w:sz w:val="22"/>
        </w:rPr>
        <w:t>Initiative 1 - AI Integration: The company is developing an AI-powered assistant (codenamed "Compass") that will provide natural language querying of customer data, automated report generation, and predictive analytics. The MVP is scheduled for Q3 2026 with general availability in Q4 2026. The R&amp;D investment for Compass is budgeted at $3.2 million for the full year.</w:t>
      </w:r>
    </w:p>
    <w:p>
      <w:r>
        <w:rPr>
          <w:sz w:val="22"/>
        </w:rPr>
        <w:t>Initiative 2 - International Expansion: Following the Berlin office opening, the company plans to establish a presence in Singapore by Q3 2026 to support APAC growth. The target is to grow APAC revenue from 11% to 15% of total revenue by year-end 2026. An additional $2.5 million is allocated for international expansion.</w:t>
      </w:r>
    </w:p>
    <w:p>
      <w:r>
        <w:rPr>
          <w:sz w:val="22"/>
        </w:rPr>
        <w:t>Initiative 3 - Platform Ecosystem: The company is building a marketplace for third-party integrations and extensions. The developer preview launched in March 2026 with 12 partner integrations. The target is 50 marketplace integrations by year-end 2026. Revenue share model: 80% to the developer, 20% to Meridian Technologies.</w:t>
      </w:r>
    </w:p>
    <w:p>
      <w:r>
        <w:rPr>
          <w:sz w:val="22"/>
        </w:rPr>
        <w:t>Q2 2026 Guidance:</w:t>
        <w:br/>
        <w:t>- Revenue: $50-52 million (6-10% sequential growth)</w:t>
        <w:br/>
        <w:t>- Operating margin: 15-17%</w:t>
        <w:br/>
        <w:t>- New customer additions: 120-140</w:t>
        <w:br/>
        <w:t>- Engineering headcount: 500+ by quarter end</w:t>
      </w:r>
    </w:p>
    <w:p>
      <w:r>
        <w:rPr>
          <w:sz w:val="22"/>
        </w:rPr>
        <w:t>Full Year 2026 Guidance (unchanged from initial guidance):</w:t>
        <w:br/>
        <w:t>- Revenue: $205-215 million (26-32% YoY growth)</w:t>
        <w:br/>
        <w:t>- Operating margin: 14-16%</w:t>
        <w:br/>
        <w:t>- Free cash flow: $18-22 million</w:t>
        <w:br/>
        <w:t>- ARR target: $150 million by December 31, 2026</w:t>
      </w:r>
    </w:p>
    <w:p>
      <w:r>
        <w:rPr>
          <w:sz w:val="22"/>
        </w:rPr>
        <w:t>Risk factors: Macroeconomic uncertainty may impact enterprise deal cycles, particularly in the EMEA region. Currency fluctuations (especially EUR/USD) could affect reported revenue. Competition from established players (Salesforce, Microsoft) remains intense in the analytics segment.</w:t>
      </w:r>
    </w:p>
    <w:p>
      <w:pPr>
        <w:pStyle w:val="Heading1"/>
      </w:pPr>
      <w:r>
        <w:t>Board of Directors Approval</w:t>
      </w:r>
    </w:p>
    <w:p>
      <w:r>
        <w:rPr>
          <w:sz w:val="22"/>
        </w:rPr>
        <w:t>This quarterly report was reviewed and approved by the Board of Directors of Meridian Technologies Inc. on April 5, 2026.</w:t>
      </w:r>
    </w:p>
    <w:p>
      <w:r>
        <w:rPr>
          <w:sz w:val="22"/>
        </w:rPr>
        <w:t>Board Members:</w:t>
        <w:br/>
        <w:t>- James Morrison, Chairman and CEO</w:t>
        <w:br/>
        <w:t>- Dr. Lisa Park, Independent Director (Chair, Audit Committee)</w:t>
        <w:br/>
        <w:t>- Michael Torres, Independent Director (Chair, Compensation Committee)</w:t>
        <w:br/>
        <w:t>- Priya Sharma, Independent Director (Chair, Nominating Committee)</w:t>
        <w:br/>
        <w:t>- David Kim, Co-Founder and CTO</w:t>
      </w:r>
    </w:p>
    <w:p>
      <w:r>
        <w:rPr>
          <w:sz w:val="22"/>
        </w:rPr>
        <w:t>Investors Relations Contact:</w:t>
        <w:br/>
        <w:t>Alexandra Reeves, VP of Investor Relations</w:t>
        <w:br/>
        <w:t>investors@meridiantech.com</w:t>
        <w:br/>
        <w:t>+1 (415) 555-0142</w:t>
      </w:r>
    </w:p>
    <w:p>
      <w:r>
        <w:rPr>
          <w:sz w:val="22"/>
        </w:rPr>
        <w:t>Report prepared by: Finance Department</w:t>
        <w:br/>
        <w:t>Document Classification: Public</w:t>
        <w:br/>
        <w:t>Fiscal Quarter: Q1 2026 (January 1 - March 31, 2026)</w:t>
        <w:br/>
        <w:t>Filing Date: April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