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Устав проекта SciVisE</w:t>
      </w:r>
    </w:p>
    <w:p>
      <w:pPr/>
      <w:r>
        <w:t>УСТАВ ПРОЕКТА SCIVISE</w:t>
        <w:br/>
        <w:br/>
        <w:t>1. Общие положения</w:t>
        <w:br/>
        <w:t>Устав проекта определяет цели, задачи и порядок реализации проекта SciVisE — интеллектуальной платформы научных статей.</w:t>
        <w:br/>
        <w:br/>
        <w:t>2. Цель проекта</w:t>
        <w:br/>
        <w:t>Создать веб-платформу, которая систематизирует и визуализирует научные статьи, обеспечивая персональные рекомендации пользователям.</w:t>
        <w:br/>
        <w:br/>
        <w:t>3. Задачи проекта</w:t>
        <w:br/>
        <w:t>- Анализ предметной области</w:t>
        <w:br/>
        <w:t>- Проектирование архитектуры</w:t>
        <w:br/>
        <w:t>- Разработка фронтенда и бэкенда</w:t>
        <w:br/>
        <w:t>- Настройка БД и интеграция ML</w:t>
        <w:br/>
        <w:t>- Тестирование и внедрение MVP</w:t>
        <w:br/>
        <w:br/>
        <w:t>4. Роли и участники</w:t>
        <w:br/>
        <w:t>Заказчик: студент (инициатор проекта)</w:t>
        <w:br/>
        <w:t>Исполнитель: автор проекта</w:t>
        <w:br/>
        <w:t>Научный руководитель: Коротков Дмитрий Павлович</w:t>
        <w:br/>
        <w:br/>
        <w:t>5. Управление проектом</w:t>
        <w:br/>
        <w:t>Риски: ограниченные сроки, объём данных, сложность ML.</w:t>
        <w:br/>
        <w:t>Коммуникации: регулярные консультации и отчётность по этапам.</w:t>
        <w:br/>
        <w:br/>
        <w:t>6. Фазы проекта</w:t>
        <w:br/>
        <w:t>1) Инициация – постановка целей</w:t>
        <w:br/>
        <w:t>2) Детализация – разработка прототипа</w:t>
        <w:br/>
        <w:t>3) Реализация – разработка и тестирование</w:t>
        <w:br/>
        <w:t>4) Защита – подготовка итоговых материалов</w:t>
        <w:br/>
        <w:br/>
        <w:t>7. Заключение</w:t>
        <w:br/>
        <w:t>Проект выполняется в рамках ВКР и предназначен для демонстрации применения ИИ и современных веб-технологий в научных коммуникациях.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