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План работы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Данный план предполагает мягкие даты (т.е. они могут смещаться)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0"/>
          <w:numId w:val="1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Этап планирование (29.11.2024)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IT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макета БД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Создание алгоритма работы бота</w:t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макета Бота</w:t>
      </w:r>
      <w:r/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Создание плана работы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Распределение задач (план задач)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Этап создания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MWP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30.11.2024)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Разработка БД и её содержимого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Разработка бота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Разработка взаимодействия бота и БД (m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erge projects)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Первое тестирование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Добавление фич (если останется время)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0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Этап подготовки выступления (1.12.2024)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Тестирование методикой Чёрного ящика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1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Подготвка документации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2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Requrments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2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User documentation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руководство по взаимодействию с ботом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/ReadMe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2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Technical documentation (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руководство по техническим взаимодействием с ботом)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2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Presentation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</w:p>
    <w:p>
      <w:pPr>
        <w:pStyle w:val="664"/>
        <w:numPr>
          <w:ilvl w:val="2"/>
          <w:numId w:val="2"/>
        </w:num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Plan presentation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2024-11-29T12:41:12Z</dcterms:modified>
</cp:coreProperties>
</file>