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Contract A: Single-Submission / Fail-Closed AI Execution</w:t>
      </w:r>
    </w:p>
    <w:p>
      <w:pPr>
        <w:jc w:val="center"/>
      </w:pPr>
      <w:r>
        <w:rPr>
          <w:i/>
          <w:sz w:val="26"/>
        </w:rPr>
        <w:t>Detailed implementation design for RAMALS MVP-2 external AI reliability</w:t>
      </w:r>
    </w:p>
    <w:p>
      <w:pPr>
        <w:jc w:val="center"/>
      </w:pPr>
      <w:r>
        <w:rPr>
          <w:b/>
        </w:rPr>
        <w:t>RAMALS - Reliable Adaptive Multi-Agent Learning System</w:t>
      </w:r>
    </w:p>
    <w:p>
      <w:pPr>
        <w:jc w:val="center"/>
      </w:pPr>
      <w:r>
        <w:t>Implementation Design and Qualification Plan | Version 1.0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Contract A defines the MVP-2 reliability boundary for synchronous external AI execution. Once a DIAGNOSE request reaches durable IN_FLIGHT state, RAMALS permits no automatic redispatch of that logical request. If process death, transport ambiguity, timeout, or provider-response loss prevents a durable local outcome, RAMALS records an explicit indeterminate outcome and fails closed rather than risking a duplicate provider execution.</w:t>
      </w:r>
    </w:p>
    <w:p>
      <w:r>
        <w:t>The contract intentionally prioritizes correctness, cost containment, auditability, and truthful failure semantics over automatic availability. It does not claim provider-level exactly-once execution because the current synchronous provider path does not expose a documented replay-safe submission plus result-retrieval primitive.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Dimension</w:t>
            </w:r>
          </w:p>
        </w:tc>
        <w:tc>
          <w:tcPr>
            <w:tcW w:type="dxa" w:w="67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MVP-2 Contract A decision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Primary guarantee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One RAMALS-authorized provider submission after durable dispatch; no automatic redispatch after IN_FLIGHT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Ambiguous provider outcome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Fail closed as INDETERMINATE; do not invent success/failure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Provider exactly-once claim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Not claimed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Result recovery after process death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Not guaranteed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Target milestone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MVP-2 release closure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Future evolution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Contract B durable recoverable execution</w:t>
            </w:r>
          </w:p>
        </w:tc>
      </w:tr>
    </w:tbl>
    <w:p/>
    <w:p>
      <w:pPr>
        <w:pStyle w:val="Heading1"/>
      </w:pPr>
      <w:r>
        <w:t>2. Scope and Non-Goals</w:t>
      </w:r>
    </w:p>
    <w:p>
      <w:r>
        <w:t>In scope: DIAGNOSE calls crossing the learning-platform -&gt; ramals-ai -&gt; LiteLLM/provider boundary, their durable state, retry/fallback policy, audit identifiers, failure classification, workflow behavior, and T15 qualification.</w:t>
      </w:r>
    </w:p>
    <w:p>
      <w:pPr>
        <w:pStyle w:val="ListBullet"/>
      </w:pPr>
      <w:r>
        <w:t>No asynchronous provider execution service</w:t>
      </w:r>
    </w:p>
    <w:p>
      <w:pPr>
        <w:pStyle w:val="ListBullet"/>
      </w:pPr>
      <w:r>
        <w:t>No provider polling/reconciliation worker</w:t>
      </w:r>
    </w:p>
    <w:p>
      <w:pPr>
        <w:pStyle w:val="ListBullet"/>
      </w:pPr>
      <w:r>
        <w:t>No claim of external exactly-once execution</w:t>
      </w:r>
    </w:p>
    <w:p>
      <w:pPr>
        <w:pStyle w:val="ListBullet"/>
      </w:pPr>
      <w:r>
        <w:t>No automatic redispatch from DISPATCH_OWNED or IN_FLIGHT</w:t>
      </w:r>
    </w:p>
    <w:p>
      <w:pPr>
        <w:pStyle w:val="ListBullet"/>
      </w:pPr>
      <w:r>
        <w:t>No Message Batch adoption for interactive DIAGNOSE</w:t>
      </w:r>
    </w:p>
    <w:p>
      <w:pPr>
        <w:pStyle w:val="ListBullet"/>
      </w:pPr>
      <w:r>
        <w:t>No weakening of dispatch fencing, request identity, or grounding identity checks</w:t>
      </w:r>
    </w:p>
    <w:p>
      <w:pPr>
        <w:pStyle w:val="Heading1"/>
      </w:pPr>
      <w:r>
        <w:t>3. Reliability Contract and Invariants</w:t>
      </w:r>
    </w:p>
    <w:p>
      <w:pPr>
        <w:pStyle w:val="Heading2"/>
      </w:pPr>
      <w:r>
        <w:t>3.1 Normative invariants</w:t>
      </w:r>
    </w:p>
    <w:p>
      <w:pPr>
        <w:pStyle w:val="ListBullet"/>
      </w:pPr>
      <w:r>
        <w:t>Each deterministic diagnostic requestId has exactly one durable commission.</w:t>
      </w:r>
    </w:p>
    <w:p>
      <w:pPr>
        <w:pStyle w:val="ListBullet"/>
      </w:pPr>
      <w:r>
        <w:t>AVAILABLE may transition to DISPATCH_OWNED only by PostgreSQL compare-and-set.</w:t>
      </w:r>
    </w:p>
    <w:p>
      <w:pPr>
        <w:pStyle w:val="ListBullet"/>
      </w:pPr>
      <w:r>
        <w:t>Only the dispatch owner token/fence may transition DISPATCH_OWNED to IN_FLIGHT.</w:t>
      </w:r>
    </w:p>
    <w:p>
      <w:pPr>
        <w:pStyle w:val="ListBullet"/>
      </w:pPr>
      <w:r>
        <w:t>Once IN_FLIGHT is durable, the request never becomes dispatchable again automatically.</w:t>
      </w:r>
    </w:p>
    <w:p>
      <w:pPr>
        <w:pStyle w:val="ListBullet"/>
      </w:pPr>
      <w:r>
        <w:t>RAMALS-AI must not initiate more than one intended external submission for the governed DIAGNOSE dispatch.</w:t>
      </w:r>
    </w:p>
    <w:p>
      <w:pPr>
        <w:pStyle w:val="ListBullet"/>
      </w:pPr>
      <w:r>
        <w:t>Provider retry and route fallback after durable IN_FLIGHT are disabled for this contract.</w:t>
      </w:r>
    </w:p>
    <w:p>
      <w:pPr>
        <w:pStyle w:val="ListBullet"/>
      </w:pPr>
      <w:r>
        <w:t>If outcome durability is uncertain after IN_FLIGHT, terminal semantics are INDETERMINATE rather than retryable failure.</w:t>
      </w:r>
    </w:p>
    <w:p>
      <w:pPr>
        <w:pStyle w:val="ListBullet"/>
      </w:pPr>
      <w:r>
        <w:t>If a terminal execution and gate decision are already durable, a replacement worker adopts them without provider invocation.</w:t>
      </w:r>
    </w:p>
    <w:p>
      <w:pPr>
        <w:pStyle w:val="ListBullet"/>
      </w:pPr>
      <w:r>
        <w:t>All workflow completion remains token-fenced and idempotent.</w:t>
      </w:r>
    </w:p>
    <w:p>
      <w:pPr>
        <w:pStyle w:val="Heading2"/>
      </w:pPr>
      <w:r>
        <w:t>3.2 State model</w:t>
      </w:r>
    </w:p>
    <w:p>
      <w:pPr>
        <w:pStyle w:val="CodeBlock"/>
      </w:pPr>
      <w:r>
        <w:rPr>
          <w:rFonts w:ascii="Consolas" w:hAnsi="Consolas"/>
          <w:sz w:val="17"/>
        </w:rPr>
        <w:t>AVAILABLE</w:t>
        <w:br/>
      </w:r>
      <w:r>
        <w:rPr>
          <w:rFonts w:ascii="Consolas" w:hAnsi="Consolas"/>
          <w:sz w:val="17"/>
        </w:rPr>
        <w:t xml:space="preserve">   | acquire dispatch CAS</w:t>
        <w:br/>
      </w:r>
      <w:r>
        <w:rPr>
          <w:rFonts w:ascii="Consolas" w:hAnsi="Consolas"/>
          <w:sz w:val="17"/>
        </w:rPr>
        <w:t xml:space="preserve">   v</w:t>
        <w:br/>
      </w:r>
      <w:r>
        <w:rPr>
          <w:rFonts w:ascii="Consolas" w:hAnsi="Consolas"/>
          <w:sz w:val="17"/>
        </w:rPr>
        <w:t>DISPATCH_OWNED</w:t>
        <w:br/>
      </w:r>
      <w:r>
        <w:rPr>
          <w:rFonts w:ascii="Consolas" w:hAnsi="Consolas"/>
          <w:sz w:val="17"/>
        </w:rPr>
        <w:t xml:space="preserve">   | owner-token + fence CAS</w:t>
        <w:br/>
      </w:r>
      <w:r>
        <w:rPr>
          <w:rFonts w:ascii="Consolas" w:hAnsi="Consolas"/>
          <w:sz w:val="17"/>
        </w:rPr>
        <w:t xml:space="preserve">   v</w:t>
        <w:br/>
      </w:r>
      <w:r>
        <w:rPr>
          <w:rFonts w:ascii="Consolas" w:hAnsi="Consolas"/>
          <w:sz w:val="17"/>
        </w:rPr>
        <w:t>IN_FLIGHT</w:t>
        <w:br/>
      </w:r>
      <w:r>
        <w:rPr>
          <w:rFonts w:ascii="Consolas" w:hAnsi="Consolas"/>
          <w:sz w:val="17"/>
        </w:rPr>
        <w:t xml:space="preserve">   |   | + durable provider outcome -&gt; SUCCEEDED / FAILED</w:t>
        <w:br/>
      </w:r>
      <w:r>
        <w:rPr>
          <w:rFonts w:ascii="Consolas" w:hAnsi="Consolas"/>
          <w:sz w:val="17"/>
        </w:rPr>
        <w:t xml:space="preserve">   |</w:t>
        <w:br/>
      </w:r>
      <w:r>
        <w:rPr>
          <w:rFonts w:ascii="Consolas" w:hAnsi="Consolas"/>
          <w:sz w:val="17"/>
        </w:rPr>
        <w:t xml:space="preserve">   + crash/timeout/ambiguous transport -&gt; INDETERMINATE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IN_FLIGHT and INDETERMINATE are NEVER automatically redispatchable.</w:t>
        <w:br/>
      </w:r>
    </w:p>
    <w:p>
      <w:pPr>
        <w:pStyle w:val="Heading1"/>
      </w:pPr>
      <w:r>
        <w:t>4. Current-to-Target Architecture</w:t>
      </w:r>
    </w:p>
    <w:p>
      <w:pPr>
        <w:pStyle w:val="Heading2"/>
      </w:pPr>
      <w:r>
        <w:t>4.1 Target request flow</w:t>
      </w:r>
    </w:p>
    <w:p>
      <w:pPr>
        <w:pStyle w:val="CodeBlock"/>
      </w:pPr>
      <w:r>
        <w:rPr>
          <w:rFonts w:ascii="Consolas" w:hAnsi="Consolas"/>
          <w:sz w:val="17"/>
        </w:rPr>
        <w:t>LearningWorkflowOrchestrator</w:t>
        <w:br/>
      </w:r>
      <w:r>
        <w:rPr>
          <w:rFonts w:ascii="Consolas" w:hAnsi="Consolas"/>
          <w:sz w:val="17"/>
        </w:rPr>
        <w:t xml:space="preserve">        |</w:t>
        <w:br/>
      </w:r>
      <w:r>
        <w:rPr>
          <w:rFonts w:ascii="Consolas" w:hAnsi="Consolas"/>
          <w:sz w:val="17"/>
        </w:rPr>
        <w:t xml:space="preserve">        v</w:t>
        <w:br/>
      </w:r>
      <w:r>
        <w:rPr>
          <w:rFonts w:ascii="Consolas" w:hAnsi="Consolas"/>
          <w:sz w:val="17"/>
        </w:rPr>
        <w:t>DiagnosticAssessmentService</w:t>
        <w:br/>
      </w:r>
      <w:r>
        <w:rPr>
          <w:rFonts w:ascii="Consolas" w:hAnsi="Consolas"/>
          <w:sz w:val="17"/>
        </w:rPr>
        <w:t xml:space="preserve">        |</w:t>
        <w:br/>
      </w:r>
      <w:r>
        <w:rPr>
          <w:rFonts w:ascii="Consolas" w:hAnsi="Consolas"/>
          <w:sz w:val="17"/>
        </w:rPr>
        <w:t xml:space="preserve">        +-- durable commission (AVAILABLE)</w:t>
        <w:br/>
      </w:r>
      <w:r>
        <w:rPr>
          <w:rFonts w:ascii="Consolas" w:hAnsi="Consolas"/>
          <w:sz w:val="17"/>
        </w:rPr>
        <w:t xml:space="preserve">        +-- dispatch CAS (DISPATCH_OWNED, ownerToken, fence)</w:t>
        <w:br/>
      </w:r>
      <w:r>
        <w:rPr>
          <w:rFonts w:ascii="Consolas" w:hAnsi="Consolas"/>
          <w:sz w:val="17"/>
        </w:rPr>
        <w:t xml:space="preserve">        +-- invocation fence (IN_FLIGHT)</w:t>
        <w:br/>
      </w:r>
      <w:r>
        <w:rPr>
          <w:rFonts w:ascii="Consolas" w:hAnsi="Consolas"/>
          <w:sz w:val="17"/>
        </w:rPr>
        <w:t xml:space="preserve">        |</w:t>
        <w:br/>
      </w:r>
      <w:r>
        <w:rPr>
          <w:rFonts w:ascii="Consolas" w:hAnsi="Consolas"/>
          <w:sz w:val="17"/>
        </w:rPr>
        <w:t xml:space="preserve">        v</w:t>
        <w:br/>
      </w:r>
      <w:r>
        <w:rPr>
          <w:rFonts w:ascii="Consolas" w:hAnsi="Consolas"/>
          <w:sz w:val="17"/>
        </w:rPr>
        <w:t>RAMALS-AI Gateway  [single governed submission]</w:t>
        <w:br/>
      </w:r>
      <w:r>
        <w:rPr>
          <w:rFonts w:ascii="Consolas" w:hAnsi="Consolas"/>
          <w:sz w:val="17"/>
        </w:rPr>
        <w:t xml:space="preserve">        |</w:t>
        <w:br/>
      </w:r>
      <w:r>
        <w:rPr>
          <w:rFonts w:ascii="Consolas" w:hAnsi="Consolas"/>
          <w:sz w:val="17"/>
        </w:rPr>
        <w:t xml:space="preserve">        v</w:t>
        <w:br/>
      </w:r>
      <w:r>
        <w:rPr>
          <w:rFonts w:ascii="Consolas" w:hAnsi="Consolas"/>
          <w:sz w:val="17"/>
        </w:rPr>
        <w:t>LiteLLM / Provider</w:t>
        <w:br/>
      </w:r>
      <w:r>
        <w:rPr>
          <w:rFonts w:ascii="Consolas" w:hAnsi="Consolas"/>
          <w:sz w:val="17"/>
        </w:rPr>
        <w:t xml:space="preserve">        |</w:t>
        <w:br/>
      </w:r>
      <w:r>
        <w:rPr>
          <w:rFonts w:ascii="Consolas" w:hAnsi="Consolas"/>
          <w:sz w:val="17"/>
        </w:rPr>
        <w:t xml:space="preserve">        +-- response -&gt; local outcome transaction</w:t>
        <w:br/>
      </w:r>
      <w:r>
        <w:rPr>
          <w:rFonts w:ascii="Consolas" w:hAnsi="Consolas"/>
          <w:sz w:val="17"/>
        </w:rPr>
        <w:t xml:space="preserve">        +-- ambiguous -&gt; INDETERMINATE, NO REDISPATCH</w:t>
        <w:br/>
      </w:r>
    </w:p>
    <w:p>
      <w:pPr>
        <w:pStyle w:val="Heading2"/>
      </w:pPr>
      <w:r>
        <w:t>4.2 Component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Component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Required responsibility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Learning Platform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Own deterministic request identity, dispatch fence, workflow claim, outcome/gate persistence, indeterminate classification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RAMALS-AI Gateway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Enforce one governed external submission; disable retry/fallback; return provider receipt metadata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LiteLLM adapter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Pass provider request once with bounded timeout; expose provider response/request IDs when available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PostgreSQL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Authoritative commission, dispatch state, terminal execution/gate, audit metadata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T15 harness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Prove single-submission and fail-closed behavior under process death and transport ambiguity</w:t>
            </w:r>
          </w:p>
        </w:tc>
      </w:tr>
    </w:tbl>
    <w:p/>
    <w:p>
      <w:pPr>
        <w:pStyle w:val="Heading1"/>
      </w:pPr>
      <w:r>
        <w:t>5. Data Model Changes</w:t>
      </w:r>
    </w:p>
    <w:p>
      <w:r>
        <w:t>Prefer additive changes. Reuse core.ai_execution_dispatch for ownership/fencing and core.ai_execution/core.ai_execution_event for terminal execution. Introduce explicit indeterminate semantics and optional provider receipt fields only where required.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Object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Change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ai_execution_dispatch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Retain AVAILABLE / DISPATCH_OWNED / IN_FLIGHT; do not make IN_FLIGHT redispatchable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Dispatch authority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ai_execution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Allow terminal failure/indeterminate classification such as AI_EXECUTION_OUTCOME_INDETERMINATE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Truthful terminal semantics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ai_execution_event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Persist terminal event and correlation IDs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Audit/replay evidence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provider receipt metadata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 provider_request_id, provider_message_id and response_digest if returned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Audit/support correlation, not recovery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proposal_gate_decision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gate on indeterminate outcome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Prevent invented authoritative decisions</w:t>
            </w:r>
          </w:p>
        </w:tc>
      </w:tr>
    </w:tbl>
    <w:p/>
    <w:p>
      <w:r>
        <w:t>Migration rule: if provider receipt columns or indeterminate enum constraints require schema changes, use an expand-only Flyway migration and preserve backward-readable rows. Do not retrofit legacy IN_FLIGHT rows as recoverable.</w:t>
      </w:r>
    </w:p>
    <w:p>
      <w:pPr>
        <w:pStyle w:val="Heading1"/>
      </w:pPr>
      <w:r>
        <w:t>6. API and Contract Changes</w:t>
      </w:r>
    </w:p>
    <w:p>
      <w:pPr>
        <w:pStyle w:val="Heading2"/>
      </w:pPr>
      <w:r>
        <w:t>6.1 Learning-platform -&gt; RAMALS-AI</w:t>
      </w:r>
    </w:p>
    <w:p>
      <w:pPr>
        <w:pStyle w:val="CodeBlock"/>
      </w:pPr>
      <w:r>
        <w:rPr>
          <w:rFonts w:ascii="Consolas" w:hAnsi="Consolas"/>
          <w:sz w:val="17"/>
        </w:rPr>
        <w:t>POST /internal/v1/diagnostic-assessment</w:t>
        <w:br/>
      </w:r>
      <w:r>
        <w:rPr>
          <w:rFonts w:ascii="Consolas" w:hAnsi="Consolas"/>
          <w:sz w:val="17"/>
        </w:rPr>
        <w:t>Headers / body (conceptual):</w:t>
        <w:br/>
      </w:r>
      <w:r>
        <w:rPr>
          <w:rFonts w:ascii="Consolas" w:hAnsi="Consolas"/>
          <w:sz w:val="17"/>
        </w:rPr>
        <w:t xml:space="preserve">  requestId              stable deterministic identity</w:t>
        <w:br/>
      </w:r>
      <w:r>
        <w:rPr>
          <w:rFonts w:ascii="Consolas" w:hAnsi="Consolas"/>
          <w:sz w:val="17"/>
        </w:rPr>
        <w:t xml:space="preserve">  interactionId          business correlation</w:t>
        <w:br/>
      </w:r>
      <w:r>
        <w:rPr>
          <w:rFonts w:ascii="Consolas" w:hAnsi="Consolas"/>
          <w:sz w:val="17"/>
        </w:rPr>
        <w:t xml:space="preserve">  traceId                W3C trace correlation</w:t>
        <w:br/>
      </w:r>
      <w:r>
        <w:rPr>
          <w:rFonts w:ascii="Consolas" w:hAnsi="Consolas"/>
          <w:sz w:val="17"/>
        </w:rPr>
        <w:t xml:space="preserve">  dispatchFence          monotonic dispatch authority</w:t>
        <w:br/>
      </w:r>
      <w:r>
        <w:rPr>
          <w:rFonts w:ascii="Consolas" w:hAnsi="Consolas"/>
          <w:sz w:val="17"/>
        </w:rPr>
        <w:t xml:space="preserve">  requestDigest          immutable payload identity</w:t>
        <w:br/>
      </w:r>
      <w:r>
        <w:rPr>
          <w:rFonts w:ascii="Consolas" w:hAnsi="Consolas"/>
          <w:sz w:val="17"/>
        </w:rPr>
        <w:t xml:space="preserve">  groundedContextId      durable grounding identity</w:t>
        <w:br/>
      </w:r>
      <w:r>
        <w:rPr>
          <w:rFonts w:ascii="Consolas" w:hAnsi="Consolas"/>
          <w:sz w:val="17"/>
        </w:rPr>
        <w:t xml:space="preserve">  deadlineMs             remaining bounded deadline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Response:</w:t>
        <w:br/>
      </w:r>
      <w:r>
        <w:rPr>
          <w:rFonts w:ascii="Consolas" w:hAnsi="Consolas"/>
          <w:sz w:val="17"/>
        </w:rPr>
        <w:t xml:space="preserve">  status: SUCCEEDED | FAILED | INDETERMINATE</w:t>
        <w:br/>
      </w:r>
      <w:r>
        <w:rPr>
          <w:rFonts w:ascii="Consolas" w:hAnsi="Consolas"/>
          <w:sz w:val="17"/>
        </w:rPr>
        <w:t xml:space="preserve">  providerRequestId?     audit only</w:t>
        <w:br/>
      </w:r>
      <w:r>
        <w:rPr>
          <w:rFonts w:ascii="Consolas" w:hAnsi="Consolas"/>
          <w:sz w:val="17"/>
        </w:rPr>
        <w:t xml:space="preserve">  providerMessageId?     audit only</w:t>
        <w:br/>
      </w:r>
      <w:r>
        <w:rPr>
          <w:rFonts w:ascii="Consolas" w:hAnsi="Consolas"/>
          <w:sz w:val="17"/>
        </w:rPr>
        <w:t xml:space="preserve">  responseDigest?        audit/tamper evidence</w:t>
        <w:br/>
      </w:r>
      <w:r>
        <w:rPr>
          <w:rFonts w:ascii="Consolas" w:hAnsi="Consolas"/>
          <w:sz w:val="17"/>
        </w:rPr>
        <w:t xml:space="preserve">  usage?                 token/cost evidence</w:t>
        <w:br/>
      </w:r>
    </w:p>
    <w:p>
      <w:pPr>
        <w:pStyle w:val="Heading2"/>
      </w:pPr>
      <w:r>
        <w:t>6.2 Duplicate semantics</w:t>
      </w:r>
    </w:p>
    <w:p>
      <w:r>
        <w:t>RAMALS-AI must treat repeated logical submissions for an already-owned/in-flight request as non-dispatching. A duplicate request may return a conflict/current-state response, but it must never trigger a second provider submission.</w:t>
      </w:r>
    </w:p>
    <w:p>
      <w:pPr>
        <w:pStyle w:val="Heading1"/>
      </w:pPr>
      <w:r>
        <w:t>7. Retry, Timeout and Fallback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Layer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Target policy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Workflow reclaim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Allowed after natural lease; reclaim must not imply provider redispatch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Learning-platform DIAGNOSE retry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May re-enter recovery logic; provider call forbidden for owned/in-flight/indeterminate state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RAMALS-AI gateway retry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Disabled after governed dispatch for DIAGNOSE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Route fallback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Disabled after governed dispatch; no secondary model/provider call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LiteLLM retries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Explicitly set to zero/one-attempt for governed route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Transport timeout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Classify as ambiguous/INDETERMINATE once submission may have left process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Pre-dispatch failure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May remain safely retryable if no dispatch ownership/invocation authorization occurred</w:t>
            </w:r>
          </w:p>
        </w:tc>
      </w:tr>
    </w:tbl>
    <w:p/>
    <w:p>
      <w:pPr>
        <w:pStyle w:val="Heading1"/>
      </w:pPr>
      <w:r>
        <w:t>8. Failure Semantics by Crash Window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Window</w:t>
            </w:r>
          </w:p>
        </w:tc>
        <w:tc>
          <w:tcPr>
            <w:tcW w:type="dxa" w:w="38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Durable knowledge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Required behavior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Before AVAILABLE commit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commission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Normal retry allowed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After AVAILABLE, before dispatch CAS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Commission only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Replacement may CAS-acquire dispatch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After DISPATCH_OWNED, before IN_FLIGHT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Owner exists, invocation not authorized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Fail closed unless ownership semantics explicitly prove no invocation; MVP-2 conservative behavior is no redispatch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After IN_FLIGHT, before provider HTTP leaves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Ambiguous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INDETERMINATE, no redispatch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Provider executing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Ambiguous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INDETERMINATE, no redispatch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Provider response in JVM, before outcome commit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Ambiguous but likely executed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INDETERMINATE, no redispatch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During outcome transaction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Atomic rollback possible locally, provider side remains ambiguous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INDETERMINATE if no terminal outcome survives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After terminal execution + gate commit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Terminal durable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Adopt terminal outcome, no provider call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After gate, before workflow completion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Terminal durable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Token-fenced workflow completion replay</w:t>
            </w:r>
          </w:p>
        </w:tc>
      </w:tr>
    </w:tbl>
    <w:p/>
    <w:p>
      <w:pPr>
        <w:pStyle w:val="Heading1"/>
      </w:pPr>
      <w:r>
        <w:t>9. Production Code Work Packages</w:t>
      </w:r>
    </w:p>
    <w:p>
      <w:pPr>
        <w:pStyle w:val="Heading2"/>
      </w:pPr>
      <w:r>
        <w:t>WP-A1: Governed single-submission policy</w:t>
      </w:r>
    </w:p>
    <w:p>
      <w:pPr>
        <w:pStyle w:val="ListBullet"/>
      </w:pPr>
      <w:r>
        <w:t>Add route-level execution policy for DIAGNOSE.</w:t>
      </w:r>
    </w:p>
    <w:p>
      <w:pPr>
        <w:pStyle w:val="ListBullet"/>
      </w:pPr>
      <w:r>
        <w:t>Set provider/gateway retry count to zero after durable dispatch.</w:t>
      </w:r>
    </w:p>
    <w:p>
      <w:pPr>
        <w:pStyle w:val="ListBullet"/>
      </w:pPr>
      <w:r>
        <w:t>Disable fallback model/provider selection after IN_FLIGHT.</w:t>
      </w:r>
    </w:p>
    <w:p>
      <w:pPr>
        <w:pStyle w:val="ListBullet"/>
      </w:pPr>
      <w:r>
        <w:t>Add tests proving exactly one adapter invocation even for retryable provider errors.</w:t>
      </w:r>
    </w:p>
    <w:p>
      <w:pPr>
        <w:pStyle w:val="Heading2"/>
      </w:pPr>
      <w:r>
        <w:t>WP-A2: Explicit INDETERMINATE semantics</w:t>
      </w:r>
    </w:p>
    <w:p>
      <w:pPr>
        <w:pStyle w:val="ListBullet"/>
      </w:pPr>
      <w:r>
        <w:t>Introduce canonical error/reason code AI_EXECUTION_OUTCOME_INDETERMINATE.</w:t>
      </w:r>
    </w:p>
    <w:p>
      <w:pPr>
        <w:pStyle w:val="ListBullet"/>
      </w:pPr>
      <w:r>
        <w:t>Map ambiguous timeout/process-death/unknown transport outcomes to this state.</w:t>
      </w:r>
    </w:p>
    <w:p>
      <w:pPr>
        <w:pStyle w:val="ListBullet"/>
      </w:pPr>
      <w:r>
        <w:t>Do not create proposal gate decision for indeterminate execution.</w:t>
      </w:r>
    </w:p>
    <w:p>
      <w:pPr>
        <w:pStyle w:val="ListBullet"/>
      </w:pPr>
      <w:r>
        <w:t>Ensure workflow terminal reason is explicit and non-retryable automatically.</w:t>
      </w:r>
    </w:p>
    <w:p>
      <w:pPr>
        <w:pStyle w:val="Heading2"/>
      </w:pPr>
      <w:r>
        <w:t>WP-A3: Provider receipt retention</w:t>
      </w:r>
    </w:p>
    <w:p>
      <w:pPr>
        <w:pStyle w:val="ListBullet"/>
      </w:pPr>
      <w:r>
        <w:t>Extend provider result envelope to preserve provider request-id/message-id when available.</w:t>
      </w:r>
    </w:p>
    <w:p>
      <w:pPr>
        <w:pStyle w:val="ListBullet"/>
      </w:pPr>
      <w:r>
        <w:t>Persist receipt IDs with terminal execution/event.</w:t>
      </w:r>
    </w:p>
    <w:p>
      <w:pPr>
        <w:pStyle w:val="ListBullet"/>
      </w:pPr>
      <w:r>
        <w:t>Treat them as observability data only.</w:t>
      </w:r>
    </w:p>
    <w:p>
      <w:pPr>
        <w:pStyle w:val="ListBullet"/>
      </w:pPr>
      <w:r>
        <w:t>Redact/avoid sensitive payload retention.</w:t>
      </w:r>
    </w:p>
    <w:p>
      <w:pPr>
        <w:pStyle w:val="Heading2"/>
      </w:pPr>
      <w:r>
        <w:t>WP-A4: Recovery logic</w:t>
      </w:r>
    </w:p>
    <w:p>
      <w:pPr>
        <w:pStyle w:val="ListBullet"/>
      </w:pPr>
      <w:r>
        <w:t>AVAILABLE -&gt; recoverable first dispatch.</w:t>
      </w:r>
    </w:p>
    <w:p>
      <w:pPr>
        <w:pStyle w:val="ListBullet"/>
      </w:pPr>
      <w:r>
        <w:t>DISPATCH_OWNED/IN_FLIGHT -&gt; never redispatch.</w:t>
      </w:r>
    </w:p>
    <w:p>
      <w:pPr>
        <w:pStyle w:val="ListBullet"/>
      </w:pPr>
      <w:r>
        <w:t>Terminal execution/gate -&gt; adopt.</w:t>
      </w:r>
    </w:p>
    <w:p>
      <w:pPr>
        <w:pStyle w:val="ListBullet"/>
      </w:pPr>
      <w:r>
        <w:t>INDETERMINATE -&gt; terminal fail-closed unless a new explicitly authorized request is created.</w:t>
      </w:r>
    </w:p>
    <w:p>
      <w:pPr>
        <w:pStyle w:val="Heading1"/>
      </w:pPr>
      <w:r>
        <w:t>10. Security and Zero-Trust Requirements</w:t>
      </w:r>
    </w:p>
    <w:p>
      <w:pPr>
        <w:pStyle w:val="ListBullet"/>
      </w:pPr>
      <w:r>
        <w:t>Only authenticated internal service identities may invoke the AI gateway.</w:t>
      </w:r>
    </w:p>
    <w:p>
      <w:pPr>
        <w:pStyle w:val="ListBullet"/>
      </w:pPr>
      <w:r>
        <w:t>requestId, requestDigest, contextId and dispatchFence must be server-derived or cryptographically bound; never trust browser input.</w:t>
      </w:r>
    </w:p>
    <w:p>
      <w:pPr>
        <w:pStyle w:val="ListBullet"/>
      </w:pPr>
      <w:r>
        <w:t>Provider credentials remain server-side secret material and are never logged.</w:t>
      </w:r>
    </w:p>
    <w:p>
      <w:pPr>
        <w:pStyle w:val="ListBullet"/>
      </w:pPr>
      <w:r>
        <w:t>Provider receipt IDs may be logged only under approved structured fields and without prompts/responses.</w:t>
      </w:r>
    </w:p>
    <w:p>
      <w:pPr>
        <w:pStyle w:val="ListBullet"/>
      </w:pPr>
      <w:r>
        <w:t>Duplicate/conflict paths must not leak another learner's execution metadata.</w:t>
      </w:r>
    </w:p>
    <w:p>
      <w:pPr>
        <w:pStyle w:val="ListBullet"/>
      </w:pPr>
      <w:r>
        <w:t>Rate limits must apply before expensive provider execution.</w:t>
      </w:r>
    </w:p>
    <w:p>
      <w:pPr>
        <w:pStyle w:val="Heading1"/>
      </w:pPr>
      <w:r>
        <w:t>11. Observability and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Signal</w:t>
            </w:r>
          </w:p>
        </w:tc>
        <w:tc>
          <w:tcPr>
            <w:tcW w:type="dxa" w:w="67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Required fields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dispatch acquired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requestId, interactionId, traceId, ownerToken hash/ref, fence, model route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provider submission started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requestId, fence, provider/model, attempt=1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provider response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requestId, providerRequestId/messageId if available, latency, usage, responseDigest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indeterminate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requestId, reason, boundary, provider submission count, workflow token/attempt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terminal adoption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requestId, executionId, gateDecisionId, reclaim attempt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qualification evidence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candidate commit/tree/digests, pod UIDs, DB snapshots, submission count, cursor history</w:t>
            </w:r>
          </w:p>
        </w:tc>
      </w:tr>
    </w:tbl>
    <w:p/>
    <w:p>
      <w:pPr>
        <w:pStyle w:val="Heading1"/>
      </w:pPr>
      <w:r>
        <w:t>12. Test Strategy</w:t>
      </w:r>
    </w:p>
    <w:p>
      <w:pPr>
        <w:pStyle w:val="Heading2"/>
      </w:pPr>
      <w:r>
        <w:t>12.1 Unit and component tests</w:t>
      </w:r>
    </w:p>
    <w:p>
      <w:pPr>
        <w:pStyle w:val="ListBullet"/>
      </w:pPr>
      <w:r>
        <w:t>Gateway single-submission policy disables retry/fallback.</w:t>
      </w:r>
    </w:p>
    <w:p>
      <w:pPr>
        <w:pStyle w:val="ListBullet"/>
      </w:pPr>
      <w:r>
        <w:t>IN_FLIGHT cannot transition back to AVAILABLE.</w:t>
      </w:r>
    </w:p>
    <w:p>
      <w:pPr>
        <w:pStyle w:val="ListBullet"/>
      </w:pPr>
      <w:r>
        <w:t>Indeterminate execution never creates a gate decision.</w:t>
      </w:r>
    </w:p>
    <w:p>
      <w:pPr>
        <w:pStyle w:val="ListBullet"/>
      </w:pPr>
      <w:r>
        <w:t>Terminal execution/gate is adopted without gateway invocation.</w:t>
      </w:r>
    </w:p>
    <w:p>
      <w:pPr>
        <w:pStyle w:val="ListBullet"/>
      </w:pPr>
      <w:r>
        <w:t>Provider receipt fields serialize/persist safely.</w:t>
      </w:r>
    </w:p>
    <w:p>
      <w:pPr>
        <w:pStyle w:val="ListBullet"/>
      </w:pPr>
      <w:r>
        <w:t>Duplicate requestId with different digest is rejected.</w:t>
      </w:r>
    </w:p>
    <w:p>
      <w:pPr>
        <w:pStyle w:val="Heading2"/>
      </w:pPr>
      <w:r>
        <w:t>12.2 PostgreSQL integration tests</w:t>
      </w:r>
    </w:p>
    <w:p>
      <w:pPr>
        <w:pStyle w:val="ListBullet"/>
      </w:pPr>
      <w:r>
        <w:t>Two workers race for dispatch: one CAS winner.</w:t>
      </w:r>
    </w:p>
    <w:p>
      <w:pPr>
        <w:pStyle w:val="ListBullet"/>
      </w:pPr>
      <w:r>
        <w:t>Outcome execution/event/gate commit atomically.</w:t>
      </w:r>
    </w:p>
    <w:p>
      <w:pPr>
        <w:pStyle w:val="ListBullet"/>
      </w:pPr>
      <w:r>
        <w:t>Rollback leaves no invented terminal outcome.</w:t>
      </w:r>
    </w:p>
    <w:p>
      <w:pPr>
        <w:pStyle w:val="ListBullet"/>
      </w:pPr>
      <w:r>
        <w:t>INDETERMINATE rows are terminal/non-dispatchable.</w:t>
      </w:r>
    </w:p>
    <w:p>
      <w:pPr>
        <w:pStyle w:val="ListBullet"/>
      </w:pPr>
      <w:r>
        <w:t>Workflow completion remains token-fenced after terminal adoption.</w:t>
      </w:r>
    </w:p>
    <w:p>
      <w:pPr>
        <w:pStyle w:val="Heading2"/>
      </w:pPr>
      <w:r>
        <w:t>12.3 T15 qualification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Scenario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Expected proof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Crash after commission/pre-provider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Existing qualified path: replacement acquires first dispatch; one provider submission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Crash immediately after IN_FLIGHT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redispatch; explicit INDETERMINATE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Kill during provider execution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Provider submissions &lt;=1; no gate invented; fail closed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Provider timeout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retry/fallback; INDETERMINATE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Response returned/pre-commit kill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redispatch; no terminal/gate unless committed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Outcome transaction rollback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Atomic local rollback; no second provider submission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Post-outcome/pre-workflow kill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Replacement adopts durable gate and completes workflow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Negative mutation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Enabling retry/fallback or redispatch must fail qualification</w:t>
            </w:r>
          </w:p>
        </w:tc>
      </w:tr>
    </w:tbl>
    <w:p/>
    <w:p>
      <w:pPr>
        <w:pStyle w:val="Heading1"/>
      </w:pPr>
      <w:r>
        <w:t>13. Rollout and Migration Plan</w:t>
      </w:r>
    </w:p>
    <w:p>
      <w:pPr>
        <w:pStyle w:val="ListNumber"/>
      </w:pPr>
      <w:r>
        <w:t>Merge ADR defining Contract A and non-goals.</w:t>
      </w:r>
    </w:p>
    <w:p>
      <w:pPr>
        <w:pStyle w:val="ListNumber"/>
      </w:pPr>
      <w:r>
        <w:t>Implement governed retry/fallback policy and indeterminate semantics in focused PR(s).</w:t>
      </w:r>
    </w:p>
    <w:p>
      <w:pPr>
        <w:pStyle w:val="ListNumber"/>
      </w:pPr>
      <w:r>
        <w:t>Run full backend/AI gateway tests and security gates.</w:t>
      </w:r>
    </w:p>
    <w:p>
      <w:pPr>
        <w:pStyle w:val="ListNumber"/>
      </w:pPr>
      <w:r>
        <w:t>Build immutable candidate and attest commit/tree/image digests.</w:t>
      </w:r>
    </w:p>
    <w:p>
      <w:pPr>
        <w:pStyle w:val="ListNumber"/>
      </w:pPr>
      <w:r>
        <w:t>Run candidate-integrity gate.</w:t>
      </w:r>
    </w:p>
    <w:p>
      <w:pPr>
        <w:pStyle w:val="ListNumber"/>
      </w:pPr>
      <w:r>
        <w:t>Execute T15 ambiguous-window qualification.</w:t>
      </w:r>
    </w:p>
    <w:p>
      <w:pPr>
        <w:pStyle w:val="ListNumber"/>
      </w:pPr>
      <w:r>
        <w:t>Run performance and security qualification.</w:t>
      </w:r>
    </w:p>
    <w:p>
      <w:pPr>
        <w:pStyle w:val="ListNumber"/>
      </w:pPr>
      <w:r>
        <w:t>Consolidate release evidence and close MVP-2.</w:t>
      </w:r>
    </w:p>
    <w:p>
      <w:pPr>
        <w:pStyle w:val="Heading1"/>
      </w:pPr>
      <w:r>
        <w:t>14. Acceptance Criteria / Definition of Done</w:t>
      </w:r>
    </w:p>
    <w:p>
      <w:pPr>
        <w:pStyle w:val="ListBullet"/>
      </w:pPr>
      <w:r>
        <w:t>No automatic provider redispatch after durable IN_FLIGHT.</w:t>
      </w:r>
    </w:p>
    <w:p>
      <w:pPr>
        <w:pStyle w:val="ListBullet"/>
      </w:pPr>
      <w:r>
        <w:t>Provider submission count is &lt;=1 for every qualified ambiguous-window scenario.</w:t>
      </w:r>
    </w:p>
    <w:p>
      <w:pPr>
        <w:pStyle w:val="ListBullet"/>
      </w:pPr>
      <w:r>
        <w:t>Ambiguous outcomes are explicit and never represented as successful/failed provider facts without evidence.</w:t>
      </w:r>
    </w:p>
    <w:p>
      <w:pPr>
        <w:pStyle w:val="ListBullet"/>
      </w:pPr>
      <w:r>
        <w:t>No gate/adaptation effect is created from an unknown provider result.</w:t>
      </w:r>
    </w:p>
    <w:p>
      <w:pPr>
        <w:pStyle w:val="ListBullet"/>
      </w:pPr>
      <w:r>
        <w:t>Post-outcome recovery adopts durable terminal data without provider invocation.</w:t>
      </w:r>
    </w:p>
    <w:p>
      <w:pPr>
        <w:pStyle w:val="ListBullet"/>
      </w:pPr>
      <w:r>
        <w:t>All candidate integrity, reliability, performance and security gates required for MVP-2 pass.</w:t>
      </w:r>
    </w:p>
    <w:p>
      <w:pPr>
        <w:pStyle w:val="ListBullet"/>
      </w:pPr>
      <w:r>
        <w:t>Contract B is explicitly deferred and tracked separately.</w:t>
      </w:r>
    </w:p>
    <w:p>
      <w:pPr>
        <w:pStyle w:val="Heading1"/>
      </w:pPr>
      <w:r>
        <w:t>15. Risks and Trade-offs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Risk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Mitigation / accepted trade-off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Lost valid provider response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 in MVP-2; fail closed rather than duplicate submission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Lower availability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New explicitly authorized diagnostic may be required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Provider may internally retry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Disable controllable client/gateway retries; document provider-internal behavior as external dependency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Audit IDs not retrievable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only for support/correlation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Operational confusion around indeterminate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Dedicated reason code, dashboards and runbook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Contract drift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T15 negative controls and route-policy tests</w:t>
            </w:r>
          </w:p>
        </w:tc>
      </w:tr>
    </w:tbl>
    <w:p/>
    <w:p>
      <w:pPr>
        <w:pStyle w:val="Heading1"/>
      </w:pPr>
      <w:r>
        <w:t>16. Future Evolution to Contract B</w:t>
      </w:r>
    </w:p>
    <w:p>
      <w:r>
        <w:t>Contract A should be designed so that a later durable execution service can replace the fail-closed INDETERMINATE branch without weakening existing dispatch fencing. requestId, requestDigest, contextId, owner/fence and provenance should remain stable across the evolution.</w:t>
      </w:r>
    </w:p>
    <w:sectPr w:rsidR="00FC693F" w:rsidRPr="0006063C" w:rsidSect="00034616">
      <w:footerReference w:type="default" r:id="rId9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Contract A - Single Submission / Fail Closed  |  RAMALS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360" w:right="216"/>
      <w:shd w:fill="F3F5F7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