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RAMALS MVP-2 ADR Package v1.0</w:t>
      </w:r>
    </w:p>
    <w:p>
      <w:pPr>
        <w:jc w:val="center"/>
      </w:pPr>
      <w:r>
        <w:t>Architecture Decision Records for Grounded, Durable Multi-Agent Learning</w:t>
      </w:r>
    </w:p>
    <w:p>
      <w:r>
        <w:t>Status: Proposed package for M2-T01 architecture/contract freeze.</w:t>
      </w:r>
    </w:p>
    <w:p>
      <w:r>
        <w:t>Governing invariant: Agents recommend. Deterministic services decide.</w:t>
      </w:r>
    </w:p>
    <w:p>
      <w:pPr>
        <w:pStyle w:val="Heading1"/>
      </w:pPr>
      <w:r>
        <w:t>ADR Register</w:t>
      </w:r>
    </w:p>
    <w:p>
      <w:pPr>
        <w:pStyle w:val="ListBullet"/>
      </w:pPr>
      <w:r>
        <w:t>ADR-001 — Deterministic Core Remains Authoritative; Agents Are Proposal-Only</w:t>
      </w:r>
    </w:p>
    <w:p>
      <w:pPr>
        <w:pStyle w:val="ListBullet"/>
      </w:pPr>
      <w:r>
        <w:t>ADR-002 — Transactional Outbox for Durable AI Work Delivery</w:t>
      </w:r>
    </w:p>
    <w:p>
      <w:pPr>
        <w:pStyle w:val="ListBullet"/>
      </w:pPr>
      <w:r>
        <w:t>ADR-003 — At-Least-Once Dispatch with Idempotent Business Effects</w:t>
      </w:r>
    </w:p>
    <w:p>
      <w:pPr>
        <w:pStyle w:val="ListBullet"/>
      </w:pPr>
      <w:r>
        <w:t>ADR-004 — PostgreSQL-Backed Dispatcher First; Kafka Deferred</w:t>
      </w:r>
    </w:p>
    <w:p>
      <w:pPr>
        <w:pStyle w:val="ListBullet"/>
      </w:pPr>
      <w:r>
        <w:t>ADR-005 — AI Execution Provenance v2</w:t>
      </w:r>
    </w:p>
    <w:p>
      <w:pPr>
        <w:pStyle w:val="ListBullet"/>
      </w:pPr>
      <w:r>
        <w:t>ADR-006 — Versioned Grounded Context Contract</w:t>
      </w:r>
    </w:p>
    <w:p>
      <w:pPr>
        <w:pStyle w:val="ListBullet"/>
      </w:pPr>
      <w:r>
        <w:t>ADR-007 — Deterministic Proposal Gates for Diagnostic and Evaluation Agents</w:t>
      </w:r>
    </w:p>
    <w:p>
      <w:pPr>
        <w:pStyle w:val="ListBullet"/>
      </w:pPr>
      <w:r>
        <w:t>ADR-008 — LangGraph Is Confined to the AI Plane</w:t>
      </w:r>
    </w:p>
    <w:p>
      <w:pPr>
        <w:pStyle w:val="ListBullet"/>
      </w:pPr>
      <w:r>
        <w:t>ADR-009 — Explicit Workflow Orchestration, Not Free-Form Agent-to-Agent Autonomy</w:t>
      </w:r>
    </w:p>
    <w:p>
      <w:pPr>
        <w:pStyle w:val="ListBullet"/>
      </w:pPr>
      <w:r>
        <w:t>ADR-010 — Deterministic-First Assessment Scoring</w:t>
      </w:r>
    </w:p>
    <w:p>
      <w:pPr>
        <w:pStyle w:val="ListBullet"/>
      </w:pPr>
      <w:r>
        <w:t>ADR-011 — Retry, Timeout, Terminal Failure and Replay Semantics</w:t>
      </w:r>
    </w:p>
    <w:p>
      <w:pPr>
        <w:pStyle w:val="ListBullet"/>
      </w:pPr>
      <w:r>
        <w:t>ADR-012 — Separate Authoritative Domain State, Agent Execution State and Transient Orchestration State</w:t>
      </w:r>
    </w:p>
    <w:p>
      <w:pPr>
        <w:pStyle w:val="ListBullet"/>
      </w:pPr>
      <w:r>
        <w:t>ADR-013 — Live-Provider Qualification Is Selective; Deterministic Regression Uses Fakes</w:t>
      </w:r>
    </w:p>
    <w:p>
      <w:pPr>
        <w:pStyle w:val="ListBullet"/>
      </w:pPr>
      <w:r>
        <w:t>ADR-014 — Versioned Multi-Vendor Model Routing</w:t>
      </w:r>
    </w:p>
    <w:p>
      <w:pPr>
        <w:pStyle w:val="ListBullet"/>
      </w:pPr>
      <w:r>
        <w:t>ADR-015 — Observability and Correlation Are Part of the Agent Contract</w:t>
      </w:r>
    </w:p>
    <w:p>
      <w:pPr>
        <w:pStyle w:val="Heading1"/>
      </w:pPr>
      <w:r>
        <w:t>Approval rule</w:t>
      </w:r>
    </w:p>
    <w:p>
      <w:r>
        <w:t>ADRs affecting a task must be accepted before that task begins. In particular, ADR-002, ADR-003, ADR-005, ADR-006, ADR-008 and ADR-009 must be settled before new agent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