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ADR-002</w:t>
        <w:br/>
        <w:t>Transactional Outbox for Durable AI Work Delivery</w:t>
      </w:r>
    </w:p>
    <w:p>
      <w:pPr>
        <w:jc w:val="center"/>
      </w:pPr>
      <w:r>
        <w:rPr>
          <w:i/>
        </w:rPr>
        <w:t>RAMALS MVP-2 Architecture Decision Record</w:t>
      </w:r>
    </w:p>
    <w:p/>
    <w:p>
      <w:pPr>
        <w:pStyle w:val="Heading1"/>
      </w:pPr>
      <w:r>
        <w:t>Status</w:t>
      </w:r>
    </w:p>
    <w:p>
      <w:r>
        <w:t>PROPOSED — approve during M2-T01 before dependent implementation.</w:t>
      </w:r>
    </w:p>
    <w:p>
      <w:pPr>
        <w:pStyle w:val="Heading1"/>
      </w:pPr>
      <w:r>
        <w:t>Context</w:t>
      </w:r>
    </w:p>
    <w:p>
      <w:r>
        <w:t>MVP-1 proved AFTER_COMMIT ordering but not durable delivery. A process crash after commit can lose an AI dispatch.</w:t>
      </w:r>
    </w:p>
    <w:p>
      <w:pPr>
        <w:pStyle w:val="Heading1"/>
      </w:pPr>
      <w:r>
        <w:t>Decision</w:t>
      </w:r>
    </w:p>
    <w:p>
      <w:r>
        <w:t>Persist agent work in an agent_work_outbox row in the same database transaction as the authoritative domain change. Dispatch occurs asynchronously from persisted work.</w:t>
      </w:r>
    </w:p>
    <w:p>
      <w:pPr>
        <w:pStyle w:val="Heading1"/>
      </w:pPr>
      <w:r>
        <w:t>Alternatives Considered</w:t>
      </w:r>
    </w:p>
    <w:p>
      <w:pPr>
        <w:pStyle w:val="ListBullet"/>
      </w:pPr>
      <w:r>
        <w:t>Continue relying on AFTER_COMMIT listeners</w:t>
      </w:r>
    </w:p>
    <w:p>
      <w:pPr>
        <w:pStyle w:val="ListBullet"/>
      </w:pPr>
      <w:r>
        <w:t>Publish directly to Kafka inside the domain transaction</w:t>
      </w:r>
    </w:p>
    <w:p>
      <w:pPr>
        <w:pStyle w:val="ListBullet"/>
      </w:pPr>
      <w:r>
        <w:t>Distributed transaction across DB and AI plane</w:t>
      </w:r>
    </w:p>
    <w:p>
      <w:pPr>
        <w:pStyle w:val="Heading1"/>
      </w:pPr>
      <w:r>
        <w:t>Rationale</w:t>
      </w:r>
    </w:p>
    <w:p>
      <w:pPr>
        <w:pStyle w:val="ListBullet"/>
      </w:pPr>
      <w:r>
        <w:t>Atomic DB commit provides a simple durability boundary</w:t>
      </w:r>
    </w:p>
    <w:p>
      <w:pPr>
        <w:pStyle w:val="ListBullet"/>
      </w:pPr>
      <w:r>
        <w:t>Closes the core of TD-T18-01 without introducing unnecessary distributed transactions</w:t>
      </w:r>
    </w:p>
    <w:p>
      <w:pPr>
        <w:pStyle w:val="Heading1"/>
      </w:pPr>
      <w:r>
        <w:t>Consequences</w:t>
      </w:r>
    </w:p>
    <w:p>
      <w:pPr>
        <w:pStyle w:val="ListBullet"/>
      </w:pPr>
      <w:r>
        <w:t>Requires dispatcher, retry and cleanup/recovery operations</w:t>
      </w:r>
    </w:p>
    <w:p>
      <w:pPr>
        <w:pStyle w:val="ListBullet"/>
      </w:pPr>
      <w:r>
        <w:t>Outbox becomes operational state requiring metrics</w:t>
      </w:r>
    </w:p>
    <w:p>
      <w:pPr>
        <w:pStyle w:val="Heading1"/>
      </w:pPr>
      <w:r>
        <w:t>Security / Operability Impact</w:t>
      </w:r>
    </w:p>
    <w:p>
      <w:r>
        <w:t>This decision must be validated through the MVP-2 testing and qualification matrix, including failure, replay, authorization, observability and evidence-integrity scenarios relevant to the decision.</w:t>
      </w:r>
    </w:p>
    <w:p>
      <w:pPr>
        <w:pStyle w:val="Heading1"/>
      </w:pPr>
      <w:r>
        <w:t>Migration / Compatibility Impact</w:t>
      </w:r>
    </w:p>
    <w:p>
      <w:r>
        <w:t>Implementation must preserve MVP-1 historical evidence and use additive/versioned contracts or migrations where persisted data is affected.</w:t>
      </w:r>
    </w:p>
    <w:p>
      <w:pPr>
        <w:pStyle w:val="Heading1"/>
      </w:pPr>
      <w:r>
        <w:t>Testing Implications</w:t>
      </w:r>
    </w:p>
    <w:p>
      <w:r>
        <w:t>Acceptance requires deterministic automated tests plus deployed qualification where the decision concerns runtime durability, provider integration, tracing or recovery.</w:t>
      </w:r>
    </w:p>
    <w:p>
      <w:pPr>
        <w:pStyle w:val="Heading1"/>
      </w:pPr>
      <w:r>
        <w:t>Revisit Trigger</w:t>
      </w:r>
    </w:p>
    <w:p>
      <w:r>
        <w:t>Revisit if throughput/operational needs justify CDC or Kafka-backed publication.</w:t>
      </w:r>
    </w:p>
    <w:p>
      <w:pPr>
        <w:pStyle w:val="Heading1"/>
      </w:pPr>
      <w:r>
        <w:t>Implementation Mapping</w:t>
      </w:r>
    </w:p>
    <w:p>
      <w:r>
        <w:t>Implementation task IDs and PR/evidence references should be added when this ADR is accepted and executed.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ADR-002 | RAMALS MVP-2 ADR Package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