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ADR-003</w:t>
        <w:br/>
        <w:t>At-Least-Once Dispatch with Idempotent Business Effects</w:t>
      </w:r>
    </w:p>
    <w:p>
      <w:pPr>
        <w:jc w:val="center"/>
      </w:pPr>
      <w:r>
        <w:rPr>
          <w:i/>
        </w:rPr>
        <w:t>RAMALS MVP-2 Architecture Decision Record</w:t>
      </w:r>
    </w:p>
    <w:p/>
    <w:p>
      <w:pPr>
        <w:pStyle w:val="Heading1"/>
      </w:pPr>
      <w:r>
        <w:t>Status</w:t>
      </w:r>
    </w:p>
    <w:p>
      <w:r>
        <w:t>PROPOSED — approve during M2-T01 before dependent implementation.</w:t>
      </w:r>
    </w:p>
    <w:p>
      <w:pPr>
        <w:pStyle w:val="Heading1"/>
      </w:pPr>
      <w:r>
        <w:t>Context</w:t>
      </w:r>
    </w:p>
    <w:p>
      <w:r>
        <w:t>Durable asynchronous systems can redeliver work after timeouts, crashes or uncertain acknowledgements.</w:t>
      </w:r>
    </w:p>
    <w:p>
      <w:pPr>
        <w:pStyle w:val="Heading1"/>
      </w:pPr>
      <w:r>
        <w:t>Decision</w:t>
      </w:r>
    </w:p>
    <w:p>
      <w:r>
        <w:t>Transport semantics are at-least-once. Stable request_id/idempotency keys and gate/domain uniqueness constraints ensure one logical authoritative effect.</w:t>
      </w:r>
    </w:p>
    <w:p>
      <w:pPr>
        <w:pStyle w:val="Heading1"/>
      </w:pPr>
      <w:r>
        <w:t>Alternatives Considered</w:t>
      </w:r>
    </w:p>
    <w:p>
      <w:pPr>
        <w:pStyle w:val="ListBullet"/>
      </w:pPr>
      <w:r>
        <w:t>Attempt exactly-once network delivery</w:t>
      </w:r>
    </w:p>
    <w:p>
      <w:pPr>
        <w:pStyle w:val="ListBullet"/>
      </w:pPr>
      <w:r>
        <w:t>Accept duplicate business effects</w:t>
      </w:r>
    </w:p>
    <w:p>
      <w:pPr>
        <w:pStyle w:val="Heading1"/>
      </w:pPr>
      <w:r>
        <w:t>Rationale</w:t>
      </w:r>
    </w:p>
    <w:p>
      <w:pPr>
        <w:pStyle w:val="ListBullet"/>
      </w:pPr>
      <w:r>
        <w:t>Exactly-once transport across HTTP/provider boundaries is not realistic</w:t>
      </w:r>
    </w:p>
    <w:p>
      <w:pPr>
        <w:pStyle w:val="ListBullet"/>
      </w:pPr>
      <w:r>
        <w:t>Idempotency is testable and recovery-friendly</w:t>
      </w:r>
    </w:p>
    <w:p>
      <w:pPr>
        <w:pStyle w:val="Heading1"/>
      </w:pPr>
      <w:r>
        <w:t>Consequences</w:t>
      </w:r>
    </w:p>
    <w:p>
      <w:pPr>
        <w:pStyle w:val="ListBullet"/>
      </w:pPr>
      <w:r>
        <w:t>Every consumer and gate must define replay semantics</w:t>
      </w:r>
    </w:p>
    <w:p>
      <w:pPr>
        <w:pStyle w:val="ListBullet"/>
      </w:pPr>
      <w:r>
        <w:t>Requires durable identifiers and uniqueness constraints</w:t>
      </w:r>
    </w:p>
    <w:p>
      <w:pPr>
        <w:pStyle w:val="Heading1"/>
      </w:pPr>
      <w:r>
        <w:t>Security / Operability Impact</w:t>
      </w:r>
    </w:p>
    <w:p>
      <w:r>
        <w:t>This decision must be validated through the MVP-2 testing and qualification matrix, including failure, replay, authorization, observability and evidence-integrity scenarios relevant to the decision.</w:t>
      </w:r>
    </w:p>
    <w:p>
      <w:pPr>
        <w:pStyle w:val="Heading1"/>
      </w:pPr>
      <w:r>
        <w:t>Migration / Compatibility Impact</w:t>
      </w:r>
    </w:p>
    <w:p>
      <w:r>
        <w:t>Implementation must preserve MVP-1 historical evidence and use additive/versioned contracts or migrations where persisted data is affected.</w:t>
      </w:r>
    </w:p>
    <w:p>
      <w:pPr>
        <w:pStyle w:val="Heading1"/>
      </w:pPr>
      <w:r>
        <w:t>Testing Implications</w:t>
      </w:r>
    </w:p>
    <w:p>
      <w:r>
        <w:t>Acceptance requires deterministic automated tests plus deployed qualification where the decision concerns runtime durability, provider integration, tracing or recovery.</w:t>
      </w:r>
    </w:p>
    <w:p>
      <w:pPr>
        <w:pStyle w:val="Heading1"/>
      </w:pPr>
      <w:r>
        <w:t>Revisit Trigger</w:t>
      </w:r>
    </w:p>
    <w:p>
      <w:r>
        <w:t>Revisit only if transport changes; idempotent business effects remain an invariant.</w:t>
      </w:r>
    </w:p>
    <w:p>
      <w:pPr>
        <w:pStyle w:val="Heading1"/>
      </w:pPr>
      <w:r>
        <w:t>Implementation Mapping</w:t>
      </w:r>
    </w:p>
    <w:p>
      <w:r>
        <w:t>Implementation task IDs and PR/evidence references should be added when this ADR is accepted and executed.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ADR-003 | RAMALS MVP-2 ADR Package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