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ADR-004</w:t>
        <w:br/>
        <w:t>PostgreSQL-Backed Dispatcher First; Kafka Deferred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RAMALS already depends on PostgreSQL. MVP-2 needs reliable dispatch but does not yet require a separate event-streaming platform for agent work.</w:t>
      </w:r>
    </w:p>
    <w:p>
      <w:pPr>
        <w:pStyle w:val="Heading1"/>
      </w:pPr>
      <w:r>
        <w:t>Decision</w:t>
      </w:r>
    </w:p>
    <w:p>
      <w:r>
        <w:t>Use PostgreSQL outbox + lease/claim worker for MVP-2. Kafka may be introduced later through a separate ADR when throughput, fan-out or cross-domain integration justifies it.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Kafka immediately</w:t>
      </w:r>
    </w:p>
    <w:p>
      <w:pPr>
        <w:pStyle w:val="ListBullet"/>
      </w:pPr>
      <w:r>
        <w:t>Cloud queue immediately</w:t>
      </w:r>
    </w:p>
    <w:p>
      <w:pPr>
        <w:pStyle w:val="ListBullet"/>
      </w:pPr>
      <w:r>
        <w:t>In-memory executor</w:t>
      </w:r>
    </w:p>
    <w:p>
      <w:pPr>
        <w:pStyle w:val="Heading1"/>
      </w:pPr>
      <w:r>
        <w:t>Rationale</w:t>
      </w:r>
    </w:p>
    <w:p>
      <w:pPr>
        <w:pStyle w:val="ListBullet"/>
      </w:pPr>
      <w:r>
        <w:t>Minimizes operational complexity while preserving durability</w:t>
      </w:r>
    </w:p>
    <w:p>
      <w:pPr>
        <w:pStyle w:val="ListBullet"/>
      </w:pPr>
      <w:r>
        <w:t>Keeps MVP-2 focused on correctness before scale</w:t>
      </w:r>
    </w:p>
    <w:p>
      <w:pPr>
        <w:pStyle w:val="Heading1"/>
      </w:pPr>
      <w:r>
        <w:t>Consequences</w:t>
      </w:r>
    </w:p>
    <w:p>
      <w:pPr>
        <w:pStyle w:val="ListBullet"/>
      </w:pPr>
      <w:r>
        <w:t>DB bears queue workload</w:t>
      </w:r>
    </w:p>
    <w:p>
      <w:pPr>
        <w:pStyle w:val="ListBullet"/>
      </w:pPr>
      <w:r>
        <w:t>Dispatcher scaling must be benchmarked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on measured backlog, fan-out, retention or integration requirements.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ADR-004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