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ADR-005</w:t>
        <w:br/>
        <w:t>AI Execution Provenance v2</w:t>
      </w:r>
    </w:p>
    <w:p>
      <w:pPr>
        <w:jc w:val="center"/>
      </w:pPr>
      <w:r>
        <w:rPr>
          <w:i/>
        </w:rPr>
        <w:t>RAMALS MVP-2 Architecture Decision Record</w:t>
      </w:r>
    </w:p>
    <w:p/>
    <w:p>
      <w:pPr>
        <w:pStyle w:val="Heading1"/>
      </w:pPr>
      <w:r>
        <w:t>Status</w:t>
      </w:r>
    </w:p>
    <w:p>
      <w:r>
        <w:t>PROPOSED — approve during M2-T01 before dependent implementation.</w:t>
      </w:r>
    </w:p>
    <w:p>
      <w:pPr>
        <w:pStyle w:val="Heading1"/>
      </w:pPr>
      <w:r>
        <w:t>Context</w:t>
      </w:r>
    </w:p>
    <w:p>
      <w:r>
        <w:t>MVP-1 stored logical model_route but model_id remained NULL, making dual-vendor execution ambiguous.</w:t>
      </w:r>
    </w:p>
    <w:p>
      <w:pPr>
        <w:pStyle w:val="Heading1"/>
      </w:pPr>
      <w:r>
        <w:t>Decision</w:t>
      </w:r>
    </w:p>
    <w:p>
      <w:r>
        <w:t>Persist immutable resolved provider, concrete model_id, model_route, route_version/config stamp, prompt_template_id, prompt_version, request_id, agent_run_id, interaction_id, trace_id, input/output hashes and available usage/cost metadata.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Rely on logs</w:t>
      </w:r>
    </w:p>
    <w:p>
      <w:pPr>
        <w:pStyle w:val="ListBullet"/>
      </w:pPr>
      <w:r>
        <w:t>Persist only route name</w:t>
      </w:r>
    </w:p>
    <w:p>
      <w:pPr>
        <w:pStyle w:val="ListBullet"/>
      </w:pPr>
      <w:r>
        <w:t>Resolve historical model from current route table</w:t>
      </w:r>
    </w:p>
    <w:p>
      <w:pPr>
        <w:pStyle w:val="Heading1"/>
      </w:pPr>
      <w:r>
        <w:t>Rationale</w:t>
      </w:r>
    </w:p>
    <w:p>
      <w:pPr>
        <w:pStyle w:val="ListBullet"/>
      </w:pPr>
      <w:r>
        <w:t>Historical executions must remain reconstructable after routing changes</w:t>
      </w:r>
    </w:p>
    <w:p>
      <w:pPr>
        <w:pStyle w:val="ListBullet"/>
      </w:pPr>
      <w:r>
        <w:t>Supports audit, debugging and research reproducibility</w:t>
      </w:r>
    </w:p>
    <w:p>
      <w:pPr>
        <w:pStyle w:val="Heading1"/>
      </w:pPr>
      <w:r>
        <w:t>Consequences</w:t>
      </w:r>
    </w:p>
    <w:p>
      <w:pPr>
        <w:pStyle w:val="ListBullet"/>
      </w:pPr>
      <w:r>
        <w:t>More storage and schema fields</w:t>
      </w:r>
    </w:p>
    <w:p>
      <w:pPr>
        <w:pStyle w:val="ListBullet"/>
      </w:pPr>
      <w:r>
        <w:t>Canonical hashing/version rules must be defined</w:t>
      </w:r>
    </w:p>
    <w:p>
      <w:pPr>
        <w:pStyle w:val="Heading1"/>
      </w:pPr>
      <w:r>
        <w:t>Security / Operability Impact</w:t>
      </w:r>
    </w:p>
    <w:p>
      <w:r>
        <w:t>This decision must be validated through the MVP-2 testing and qualification matrix, including failure, replay, authorization, observability and evidence-integrity scenarios relevant to the decision.</w:t>
      </w:r>
    </w:p>
    <w:p>
      <w:pPr>
        <w:pStyle w:val="Heading1"/>
      </w:pPr>
      <w:r>
        <w:t>Migration / Compatibility Impact</w:t>
      </w:r>
    </w:p>
    <w:p>
      <w:r>
        <w:t>Implementation must preserve MVP-1 historical evidence and use additive/versioned contracts or migrations where persisted data is affected.</w:t>
      </w:r>
    </w:p>
    <w:p>
      <w:pPr>
        <w:pStyle w:val="Heading1"/>
      </w:pPr>
      <w:r>
        <w:t>Testing Implications</w:t>
      </w:r>
    </w:p>
    <w:p>
      <w:r>
        <w:t>Acceptance requires deterministic automated tests plus deployed qualification where the decision concerns runtime durability, provider integration, tracing or recovery.</w:t>
      </w:r>
    </w:p>
    <w:p>
      <w:pPr>
        <w:pStyle w:val="Heading1"/>
      </w:pPr>
      <w:r>
        <w:t>Revisit Trigger</w:t>
      </w:r>
    </w:p>
    <w:p>
      <w:r>
        <w:t>Revisit to add provider-specific immutable revision identifiers where available.</w:t>
      </w:r>
    </w:p>
    <w:p>
      <w:pPr>
        <w:pStyle w:val="Heading1"/>
      </w:pPr>
      <w:r>
        <w:t>Implementation Mapping</w:t>
      </w:r>
    </w:p>
    <w:p>
      <w:r>
        <w:t>Implementation task IDs and PR/evidence references should be added when this ADR is accepted and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ADR-005 | RAMALS MVP-2 ADR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