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ADR-008</w:t>
        <w:br/>
        <w:t>LangGraph Is Confined to the AI Plane</w:t>
      </w:r>
    </w:p>
    <w:p>
      <w:pPr>
        <w:jc w:val="center"/>
      </w:pPr>
      <w:r>
        <w:rPr>
          <w:i/>
        </w:rPr>
        <w:t>RAMALS MVP-2 Architecture Decision Record</w:t>
      </w:r>
    </w:p>
    <w:p/>
    <w:p>
      <w:pPr>
        <w:pStyle w:val="Heading1"/>
      </w:pPr>
      <w:r>
        <w:t>Status</w:t>
      </w:r>
    </w:p>
    <w:p>
      <w:r>
        <w:t>PROPOSED — approve during M2-T01 before dependent implementation.</w:t>
      </w:r>
    </w:p>
    <w:p>
      <w:pPr>
        <w:pStyle w:val="Heading1"/>
      </w:pPr>
      <w:r>
        <w:t>Context</w:t>
      </w:r>
    </w:p>
    <w:p>
      <w:r>
        <w:t>MVP-2 needs controlled multi-step agent execution, but authoritative domain workflow/state must remain deterministic and durable outside the model orchestration runtime.</w:t>
      </w:r>
    </w:p>
    <w:p>
      <w:pPr>
        <w:pStyle w:val="Heading1"/>
      </w:pPr>
      <w:r>
        <w:t>Decision</w:t>
      </w:r>
    </w:p>
    <w:p>
      <w:r>
        <w:t>Use LangGraph inside Python AI plane for retrieval, validation, model/tool invocation and proposal construction. Do not store authoritative mastery/progression/ledger state in LangGraph checkpoints.</w:t>
      </w:r>
    </w:p>
    <w:p>
      <w:pPr>
        <w:pStyle w:val="Heading1"/>
      </w:pPr>
      <w:r>
        <w:t>Alternatives Considered</w:t>
      </w:r>
    </w:p>
    <w:p>
      <w:pPr>
        <w:pStyle w:val="ListBullet"/>
      </w:pPr>
      <w:r>
        <w:t>Make LangGraph the system-of-record workflow engine</w:t>
      </w:r>
    </w:p>
    <w:p>
      <w:pPr>
        <w:pStyle w:val="ListBullet"/>
      </w:pPr>
      <w:r>
        <w:t>Implement all AI flow in Spring</w:t>
      </w:r>
    </w:p>
    <w:p>
      <w:pPr>
        <w:pStyle w:val="Heading1"/>
      </w:pPr>
      <w:r>
        <w:t>Rationale</w:t>
      </w:r>
    </w:p>
    <w:p>
      <w:pPr>
        <w:pStyle w:val="ListBullet"/>
      </w:pPr>
      <w:r>
        <w:t>LangGraph fits model/tool orchestration</w:t>
      </w:r>
    </w:p>
    <w:p>
      <w:pPr>
        <w:pStyle w:val="ListBullet"/>
      </w:pPr>
      <w:r>
        <w:t>Spring/Postgres retain authority and durability</w:t>
      </w:r>
    </w:p>
    <w:p>
      <w:pPr>
        <w:pStyle w:val="Heading1"/>
      </w:pPr>
      <w:r>
        <w:t>Consequences</w:t>
      </w:r>
    </w:p>
    <w:p>
      <w:pPr>
        <w:pStyle w:val="ListBullet"/>
      </w:pPr>
      <w:r>
        <w:t>Two runtimes require contracts/tracing</w:t>
      </w:r>
    </w:p>
    <w:p>
      <w:pPr>
        <w:pStyle w:val="ListBullet"/>
      </w:pPr>
      <w:r>
        <w:t>Workflow boundaries must be explicit</w:t>
      </w:r>
    </w:p>
    <w:p>
      <w:pPr>
        <w:pStyle w:val="Heading1"/>
      </w:pPr>
      <w:r>
        <w:t>Security / Operability Impact</w:t>
      </w:r>
    </w:p>
    <w:p>
      <w:r>
        <w:t>This decision must be validated through the MVP-2 testing and qualification matrix, including failure, replay, authorization, observability and evidence-integrity scenarios relevant to the decision.</w:t>
      </w:r>
    </w:p>
    <w:p>
      <w:pPr>
        <w:pStyle w:val="Heading1"/>
      </w:pPr>
      <w:r>
        <w:t>Migration / Compatibility Impact</w:t>
      </w:r>
    </w:p>
    <w:p>
      <w:r>
        <w:t>Implementation must preserve MVP-1 historical evidence and use additive/versioned contracts or migrations where persisted data is affected.</w:t>
      </w:r>
    </w:p>
    <w:p>
      <w:pPr>
        <w:pStyle w:val="Heading1"/>
      </w:pPr>
      <w:r>
        <w:t>Testing Implications</w:t>
      </w:r>
    </w:p>
    <w:p>
      <w:r>
        <w:t>Acceptance requires deterministic automated tests plus deployed qualification where the decision concerns runtime durability, provider integration, tracing or recovery.</w:t>
      </w:r>
    </w:p>
    <w:p>
      <w:pPr>
        <w:pStyle w:val="Heading1"/>
      </w:pPr>
      <w:r>
        <w:t>Revisit Trigger</w:t>
      </w:r>
    </w:p>
    <w:p>
      <w:r>
        <w:t>Revisit if orchestration technology changes; authority separation remains.</w:t>
      </w:r>
    </w:p>
    <w:p>
      <w:pPr>
        <w:pStyle w:val="Heading1"/>
      </w:pPr>
      <w:r>
        <w:t>Implementation Mapping</w:t>
      </w:r>
    </w:p>
    <w:p>
      <w:r>
        <w:t>Implementation task IDs and PR/evidence references should be added when this ADR is accepted and executed.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ADR-008 | RAMALS MVP-2 ADR Package v1.0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