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ADR-012</w:t>
        <w:br/>
        <w:t>Separate Authoritative Domain State, Agent Execution State and Transient Orchestration State</w:t>
      </w:r>
    </w:p>
    <w:p>
      <w:pPr>
        <w:jc w:val="center"/>
      </w:pPr>
      <w:r>
        <w:rPr>
          <w:i/>
        </w:rPr>
        <w:t>RAMALS MVP-2 Architecture Decision Record</w:t>
      </w:r>
    </w:p>
    <w:p/>
    <w:p>
      <w:pPr>
        <w:pStyle w:val="Heading1"/>
      </w:pPr>
      <w:r>
        <w:t>Status</w:t>
      </w:r>
    </w:p>
    <w:p>
      <w:r>
        <w:t>PROPOSED — approve during M2-T01 before dependent implementation.</w:t>
      </w:r>
    </w:p>
    <w:p>
      <w:pPr>
        <w:pStyle w:val="Heading1"/>
      </w:pPr>
      <w:r>
        <w:t>Context</w:t>
      </w:r>
    </w:p>
    <w:p>
      <w:r>
        <w:t>Mixing model workflow state with learner/domain truth makes recovery and audit ambiguous.</w:t>
      </w:r>
    </w:p>
    <w:p>
      <w:pPr>
        <w:pStyle w:val="Heading1"/>
      </w:pPr>
      <w:r>
        <w:t>Decision</w:t>
      </w:r>
    </w:p>
    <w:p>
      <w:r>
        <w:t>Authoritative state lives in Spring/Postgres domain tables; durable AI execution/provenance lives in execution/outbox records; transient graph/context state lives in AI-plane orchestration and may be reconstructed.</w:t>
      </w:r>
    </w:p>
    <w:p>
      <w:pPr>
        <w:pStyle w:val="Heading1"/>
      </w:pPr>
      <w:r>
        <w:t>Alternatives Considered</w:t>
      </w:r>
    </w:p>
    <w:p>
      <w:pPr>
        <w:pStyle w:val="ListBullet"/>
      </w:pPr>
      <w:r>
        <w:t>Store all state in LangGraph</w:t>
      </w:r>
    </w:p>
    <w:p>
      <w:pPr>
        <w:pStyle w:val="ListBullet"/>
      </w:pPr>
      <w:r>
        <w:t>Store every transient token/context in core DB</w:t>
      </w:r>
    </w:p>
    <w:p>
      <w:pPr>
        <w:pStyle w:val="Heading1"/>
      </w:pPr>
      <w:r>
        <w:t>Rationale</w:t>
      </w:r>
    </w:p>
    <w:p>
      <w:pPr>
        <w:pStyle w:val="ListBullet"/>
      </w:pPr>
      <w:r>
        <w:t>Clear ownership</w:t>
      </w:r>
    </w:p>
    <w:p>
      <w:pPr>
        <w:pStyle w:val="ListBullet"/>
      </w:pPr>
      <w:r>
        <w:t>Smaller blast radius</w:t>
      </w:r>
    </w:p>
    <w:p>
      <w:pPr>
        <w:pStyle w:val="ListBullet"/>
      </w:pPr>
      <w:r>
        <w:t>Better privacy and replay</w:t>
      </w:r>
    </w:p>
    <w:p>
      <w:pPr>
        <w:pStyle w:val="Heading1"/>
      </w:pPr>
      <w:r>
        <w:t>Consequences</w:t>
      </w:r>
    </w:p>
    <w:p>
      <w:pPr>
        <w:pStyle w:val="ListBullet"/>
      </w:pPr>
      <w:r>
        <w:t>Requires correlation identifiers across stores/runtimes</w:t>
      </w:r>
    </w:p>
    <w:p>
      <w:pPr>
        <w:pStyle w:val="Heading1"/>
      </w:pPr>
      <w:r>
        <w:t>Security / Operability Impact</w:t>
      </w:r>
    </w:p>
    <w:p>
      <w:r>
        <w:t>This decision must be validated through the MVP-2 testing and qualification matrix, including failure, replay, authorization, observability and evidence-integrity scenarios relevant to the decision.</w:t>
      </w:r>
    </w:p>
    <w:p>
      <w:pPr>
        <w:pStyle w:val="Heading1"/>
      </w:pPr>
      <w:r>
        <w:t>Migration / Compatibility Impact</w:t>
      </w:r>
    </w:p>
    <w:p>
      <w:r>
        <w:t>Implementation must preserve MVP-1 historical evidence and use additive/versioned contracts or migrations where persisted data is affected.</w:t>
      </w:r>
    </w:p>
    <w:p>
      <w:pPr>
        <w:pStyle w:val="Heading1"/>
      </w:pPr>
      <w:r>
        <w:t>Testing Implications</w:t>
      </w:r>
    </w:p>
    <w:p>
      <w:r>
        <w:t>Acceptance requires deterministic automated tests plus deployed qualification where the decision concerns runtime durability, provider integration, tracing or recovery.</w:t>
      </w:r>
    </w:p>
    <w:p>
      <w:pPr>
        <w:pStyle w:val="Heading1"/>
      </w:pPr>
      <w:r>
        <w:t>Revisit Trigger</w:t>
      </w:r>
    </w:p>
    <w:p>
      <w:r>
        <w:t>Revisit only with explicit data-governance and durability requirements.</w:t>
      </w:r>
    </w:p>
    <w:p>
      <w:pPr>
        <w:pStyle w:val="Heading1"/>
      </w:pPr>
      <w:r>
        <w:t>Implementation Mapping</w:t>
      </w:r>
    </w:p>
    <w:p>
      <w:r>
        <w:t>Implementation task IDs and PR/evidence references should be added when this ADR is accepted and executed.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ADR-012 | RAMALS MVP-2 ADR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