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72"/>
        </w:rPr>
        <w:t>RAMALS</w:t>
      </w:r>
    </w:p>
    <w:p>
      <w:pPr>
        <w:jc w:val="center"/>
      </w:pPr>
      <w:r>
        <w:rPr>
          <w:b/>
          <w:sz w:val="48"/>
        </w:rPr>
        <w:t>MVP-2 Implementation Master Plan</w:t>
      </w:r>
    </w:p>
    <w:p>
      <w:pPr>
        <w:jc w:val="center"/>
      </w:pPr>
      <w:r>
        <w:rPr>
          <w:i/>
          <w:sz w:val="30"/>
        </w:rPr>
        <w:t>Grounded, Durable Multi-Agent Learning</w:t>
      </w:r>
    </w:p>
    <w:p/>
    <w:p>
      <w:pPr>
        <w:jc w:val="center"/>
      </w:pPr>
      <w:r>
        <w:rPr>
          <w:b/>
        </w:rPr>
        <w:t>Version 1.0  |  Execution contract for MVP-2</w:t>
      </w:r>
    </w:p>
    <w:p>
      <w:pPr>
        <w:jc w:val="center"/>
      </w:pPr>
      <w:r>
        <w:t>Baseline: MVP-1 CLOSED - PASS_WITH_ACCEPTED_DEBT</w:t>
      </w:r>
    </w:p>
    <w:p>
      <w:pPr>
        <w:jc w:val="center"/>
      </w:pPr>
      <w:r>
        <w:t>Prepared: 22 August 2026</w:t>
      </w:r>
    </w:p>
    <w:p>
      <w:r>
        <w:br w:type="page"/>
      </w:r>
    </w:p>
    <w:p>
      <w:pPr>
        <w:pStyle w:val="Heading1"/>
      </w:pPr>
      <w:r>
        <w:t>1. Purpose and execution rule</w:t>
      </w:r>
    </w:p>
    <w:p>
      <w:r>
        <w:t>This plan converts the approved MVP-2 architecture/scope into an implementation sequence. It is intentionally ordered so reliability and provenance are strengthened before RAMALS adds new agent capabilities.</w:t>
      </w:r>
    </w:p>
    <w:p>
      <w:r>
        <w:rPr>
          <w:b/>
        </w:rPr>
        <w:t xml:space="preserve">Governing invariant: </w:t>
      </w:r>
      <w:r>
        <w:t>Agents recommend. Deterministic services decide.</w:t>
      </w:r>
    </w:p>
    <w:p>
      <w:r>
        <w:rPr>
          <w:b/>
        </w:rPr>
        <w:t xml:space="preserve">Critical sequencing rule: </w:t>
      </w:r>
      <w:r>
        <w:t>Do not start Diagnostic Agent implementation until durable dispatch and AI provenance v2 are complete and accepted.</w:t>
      </w:r>
    </w:p>
    <w:p>
      <w:pPr>
        <w:pStyle w:val="Heading1"/>
      </w:pPr>
      <w:r>
        <w:t>2. MVP-2 implementation outcome</w:t>
      </w:r>
    </w:p>
    <w:p>
      <w:pPr>
        <w:pStyle w:val="CodeBlock"/>
      </w:pPr>
      <w:r>
        <w:t>Learner action / evidence</w:t>
        <w:br/>
        <w:t xml:space="preserve">        |</w:t>
        <w:br/>
        <w:t xml:space="preserve">        v</w:t>
        <w:br/>
        <w:t>Authoritative Spring domain transaction</w:t>
        <w:br/>
        <w:t xml:space="preserve">        |</w:t>
        <w:br/>
        <w:t xml:space="preserve">        +--&gt; decision/evidence state</w:t>
        <w:br/>
        <w:t xml:space="preserve">        +--&gt; transactional outbox</w:t>
        <w:br/>
        <w:t xml:space="preserve">                  |</w:t>
        <w:br/>
        <w:t xml:space="preserve">                  v</w:t>
        <w:br/>
        <w:t xml:space="preserve">          durable dispatcher</w:t>
        <w:br/>
        <w:t xml:space="preserve">                  |</w:t>
        <w:br/>
        <w:t xml:space="preserve">                  v</w:t>
        <w:br/>
        <w:t xml:space="preserve">             AI Plane</w:t>
        <w:br/>
        <w:t xml:space="preserve">      grounding + orchestration</w:t>
        <w:br/>
        <w:t xml:space="preserve">                  |</w:t>
        <w:br/>
        <w:t xml:space="preserve">                  v</w:t>
        <w:br/>
        <w:t xml:space="preserve">          structured proposal</w:t>
        <w:br/>
        <w:t xml:space="preserve">                  |</w:t>
        <w:br/>
        <w:t xml:space="preserve">                  v</w:t>
        <w:br/>
        <w:t xml:space="preserve">         Spring Proposal Gate</w:t>
        <w:br/>
        <w:t xml:space="preserve">                  |</w:t>
        <w:br/>
        <w:t xml:space="preserve">          accept / reject</w:t>
        <w:br/>
        <w:t xml:space="preserve">                  |</w:t>
        <w:br/>
        <w:t xml:space="preserve">                  v</w:t>
        <w:br/>
        <w:t xml:space="preserve">       authoritative domain state</w:t>
      </w:r>
    </w:p>
    <w:p>
      <w:r>
        <w:t>MVP-2 is complete only when this chain is durable, grounded, auditable, reproducible, and demonstrably safe under retries, failures, malformed AI output, provider changes, and controlled perturbations.</w:t>
      </w:r>
    </w:p>
    <w:p>
      <w:pPr>
        <w:pStyle w:val="Heading1"/>
      </w:pPr>
      <w:r>
        <w:t>3. Scope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b/>
                <w:sz w:val="17"/>
              </w:rPr>
              <w:t>In scope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b/>
                <w:sz w:val="17"/>
              </w:rPr>
              <w:t>Out of scope for MVP-2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Transactional outbox and durable AI work dispatch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Open-ended autonomous agent societies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execution provenance v2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Agents directly writing mastery/ledger/progression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Grounded context/evidence retrieval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Self-modifying production prompts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Diagnostic Agent + deterministic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Autonomous curriculum generation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Assessment Evaluation Agent + deterministic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Arbitrary peer-to-peer agent messaging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Learner-facing evaluation/feedback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Full multi-tenancy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Controlled LangGraph orchestration in AI plane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Secure executable labs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Reliability, security, performance and perturbation qualification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Model training/fine-tuning / AGI autonomy</w:t>
            </w:r>
          </w:p>
        </w:tc>
      </w:tr>
    </w:tbl>
    <w:p/>
    <w:p>
      <w:pPr>
        <w:pStyle w:val="Heading1"/>
      </w:pPr>
      <w:r>
        <w:t>4. MVP-1 debt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Debt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MVP-2 disposition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TD-T18-01 - AFTER_COMMIT not durable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Resolve through transactional outbox + durable dispatcher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 / mandatory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TD-RC8-02 - concrete model provenance missing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Persist resolved provider/model/route version and immutable execution snapshot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P0 / mandatory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TD-R1-03 - two-host host provenance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Resolve in observability/deployment hardening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TD-RC8-01 - JVM IPv4 host-port portability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Deployment portability hardening; independent of agent foundation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5. Delivery strategy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Tasks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b/>
                <w:sz w:val="17"/>
              </w:rPr>
              <w:t>Exit condition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M2-A Reliability &amp; contracts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T01-T04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Contracts frozen; durable dispatch and complete AI provenance accepted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M2-B Grounding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T05-T07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Agents can consume validated, traceable grounded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M2-C Diagnosis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T08-T10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Diagnostic proposal path works E2E under deterministic authority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M2-D Evaluation &amp; learner feedback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T11-T13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Free-text evaluation and learner-facing feedback are gated and auditable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M2-E Orchestration &amp; qualification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T14-T16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Controlled multi-agent workflow passes release qualification</w:t>
            </w:r>
          </w:p>
        </w:tc>
      </w:tr>
    </w:tbl>
    <w:p/>
    <w:p>
      <w:pPr>
        <w:pStyle w:val="Heading1"/>
      </w:pPr>
      <w:r>
        <w:t>6. Cross-cutting implementation standards</w:t>
      </w:r>
    </w:p>
    <w:p>
      <w:pPr>
        <w:pStyle w:val="ListBullet"/>
        <w:spacing w:after="20"/>
      </w:pPr>
      <w:r>
        <w:t>Spring Boot/PostgreSQL remain authoritative for mastery, progression, policy, evidence ledger and final business decisions.</w:t>
      </w:r>
    </w:p>
    <w:p>
      <w:pPr>
        <w:pStyle w:val="ListBullet"/>
        <w:spacing w:after="20"/>
      </w:pPr>
      <w:r>
        <w:t>Python AI plane may retrieve context, invoke models, orchestrate agent workflows and emit structured proposals; it must not write authoritative domain tables.</w:t>
      </w:r>
    </w:p>
    <w:p>
      <w:pPr>
        <w:pStyle w:val="ListBullet"/>
        <w:spacing w:after="20"/>
      </w:pPr>
      <w:r>
        <w:t>Every asynchronous command/event must be idempotent and replay-safe.</w:t>
      </w:r>
    </w:p>
    <w:p>
      <w:pPr>
        <w:pStyle w:val="ListBullet"/>
        <w:spacing w:after="20"/>
      </w:pPr>
      <w:r>
        <w:t>Every AI execution must be reconstructable from persisted provenance without relying on transient logs.</w:t>
      </w:r>
    </w:p>
    <w:p>
      <w:pPr>
        <w:pStyle w:val="ListBullet"/>
        <w:spacing w:after="20"/>
      </w:pPr>
      <w:r>
        <w:t>Provider credentials remain runtime secrets only; no credential may appear in source, evidence, test fixtures or committed configuration.</w:t>
      </w:r>
    </w:p>
    <w:p>
      <w:pPr>
        <w:pStyle w:val="ListBullet"/>
        <w:spacing w:after="20"/>
      </w:pPr>
      <w:r>
        <w:t>Schema evolution uses Flyway expand/contract discipline and must include rollback/compatibility analysis.</w:t>
      </w:r>
    </w:p>
    <w:p>
      <w:pPr>
        <w:pStyle w:val="ListBullet"/>
        <w:spacing w:after="20"/>
      </w:pPr>
      <w:r>
        <w:t>All new proposal types require schema validation, semantic validation, policy validation and explicit rejection behavior.</w:t>
      </w:r>
    </w:p>
    <w:p>
      <w:pPr>
        <w:pStyle w:val="ListBullet"/>
        <w:spacing w:after="20"/>
      </w:pPr>
      <w:r>
        <w:t>Observability must preserve interactionId, traceId, spanId, requestId and agentRunId across Java/Python boundaries.</w:t>
      </w:r>
    </w:p>
    <w:p>
      <w:pPr>
        <w:pStyle w:val="ListBullet"/>
        <w:spacing w:after="20"/>
      </w:pPr>
      <w:r>
        <w:t>Build once, promote immutable artifacts; qualification evidence must identify exact git SHA and image digests.</w:t>
      </w:r>
    </w:p>
    <w:p>
      <w:pPr>
        <w:pStyle w:val="Heading1"/>
      </w:pPr>
      <w:r>
        <w:t>7. Detailed task plan</w:t>
      </w:r>
    </w:p>
    <w:p>
      <w:pPr>
        <w:pStyle w:val="Heading2"/>
      </w:pPr>
      <w:r>
        <w:t>M2-T01 - Architecture, contracts and ADR freeze</w:t>
      </w:r>
    </w:p>
    <w:p>
      <w:r>
        <w:rPr>
          <w:b/>
        </w:rPr>
        <w:t xml:space="preserve">Objective. </w:t>
      </w:r>
      <w:r>
        <w:t>Freeze MVP-2 boundaries before code changes.</w:t>
      </w:r>
    </w:p>
    <w:p>
      <w:r>
        <w:rPr>
          <w:b/>
        </w:rPr>
        <w:t xml:space="preserve">Primary impact. </w:t>
      </w:r>
      <w:r>
        <w:t>Docs/contracts/ADRs only; no functional feature implementation.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Review the existing seven-question integration-contract analysis and classify each item: Resolved / Partially Resolved / Deferred / Requires ADR.</w:t>
      </w:r>
    </w:p>
    <w:p>
      <w:pPr>
        <w:pStyle w:val="ListBullet"/>
        <w:spacing w:after="20"/>
      </w:pPr>
      <w:r>
        <w:t>Define ownership of authoritative state, agent state and transient orchestration state.</w:t>
      </w:r>
    </w:p>
    <w:p>
      <w:pPr>
        <w:pStyle w:val="ListBullet"/>
        <w:spacing w:after="20"/>
      </w:pPr>
      <w:r>
        <w:t>Freeze contracts for AgentWork, GroundedContext, DiagnosticProposal and AssessmentEvaluationProposal.</w:t>
      </w:r>
    </w:p>
    <w:p>
      <w:pPr>
        <w:pStyle w:val="ListBullet"/>
        <w:spacing w:after="20"/>
      </w:pPr>
      <w:r>
        <w:t>Write ADRs for durable dispatch, retry semantics, idempotency, LangGraph boundary, provenance snapshot and proposal authority.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No unresolved ownership or transaction-boundary question blocks T02-T14.</w:t>
      </w:r>
    </w:p>
    <w:p>
      <w:pPr>
        <w:pStyle w:val="ListBullet"/>
        <w:spacing w:after="20"/>
      </w:pPr>
      <w:r>
        <w:t>Contract schemas are versioned and machine-testable.</w:t>
      </w:r>
    </w:p>
    <w:p>
      <w:pPr>
        <w:pStyle w:val="ListBullet"/>
        <w:spacing w:after="20"/>
      </w:pPr>
      <w:r>
        <w:t>ADRs explicitly preserve deterministic authority.</w:t>
      </w:r>
    </w:p>
    <w:p>
      <w:r>
        <w:rPr>
          <w:b/>
        </w:rPr>
        <w:t xml:space="preserve">Claude/Codex guardrail. </w:t>
      </w:r>
      <w:r>
        <w:t>Do not introduce a new agent, queue technology or schema before the ADR decision exists.</w:t>
      </w:r>
    </w:p>
    <w:p>
      <w:pPr>
        <w:pStyle w:val="Heading2"/>
      </w:pPr>
      <w:r>
        <w:t>M2-T02 - Transactional outbox - close TD-T18-01 foundation</w:t>
      </w:r>
    </w:p>
    <w:p>
      <w:r>
        <w:rPr>
          <w:b/>
        </w:rPr>
        <w:t xml:space="preserve">Objective. </w:t>
      </w:r>
      <w:r>
        <w:t>Replace volatile AFTER_COMMIT delivery as the reliability boundary with transactionally persisted agent work.</w:t>
      </w:r>
    </w:p>
    <w:p>
      <w:r>
        <w:rPr>
          <w:b/>
        </w:rPr>
        <w:t xml:space="preserve">Primary impact. </w:t>
      </w:r>
      <w:r>
        <w:t>Java backend + PostgreSQL + Flyway.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Design agent_work_outbox with immutable event id, aggregate/decision reference, payload/version, created_at, status and retry metadata.</w:t>
      </w:r>
    </w:p>
    <w:p>
      <w:pPr>
        <w:pStyle w:val="ListBullet"/>
        <w:spacing w:after="20"/>
      </w:pPr>
      <w:r>
        <w:t>Insert authoritative decision/evidence change and outbox record in the same database transaction.</w:t>
      </w:r>
    </w:p>
    <w:p>
      <w:pPr>
        <w:pStyle w:val="ListBullet"/>
        <w:spacing w:after="20"/>
      </w:pPr>
      <w:r>
        <w:t>Retain AFTER_COMMIT only if useful as an optimization trigger; correctness must depend on the persisted outbox.</w:t>
      </w:r>
    </w:p>
    <w:p>
      <w:pPr>
        <w:pStyle w:val="ListBullet"/>
        <w:spacing w:after="20"/>
      </w:pPr>
      <w:r>
        <w:t>Add Flyway migration and repository/service tests.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Crash after COMMIT but before dispatch does not lose work.</w:t>
      </w:r>
    </w:p>
    <w:p>
      <w:pPr>
        <w:pStyle w:val="ListBullet"/>
        <w:spacing w:after="20"/>
      </w:pPr>
      <w:r>
        <w:t>Rollback produces neither authoritative change nor outbox work.</w:t>
      </w:r>
    </w:p>
    <w:p>
      <w:pPr>
        <w:pStyle w:val="ListBullet"/>
        <w:spacing w:after="20"/>
      </w:pPr>
      <w:r>
        <w:t>Duplicate transaction/request does not create duplicate business effect.</w:t>
      </w:r>
    </w:p>
    <w:p>
      <w:r>
        <w:rPr>
          <w:b/>
        </w:rPr>
        <w:t xml:space="preserve">Claude/Codex guardrail. </w:t>
      </w:r>
      <w:r>
        <w:t>Do not use the AI plane or Kafka as part of the authoritative transaction.</w:t>
      </w:r>
    </w:p>
    <w:p>
      <w:pPr>
        <w:pStyle w:val="Heading2"/>
      </w:pPr>
      <w:r>
        <w:t>M2-T03 - Durable dispatcher, retries, idempotency and recovery</w:t>
      </w:r>
    </w:p>
    <w:p>
      <w:r>
        <w:rPr>
          <w:b/>
        </w:rPr>
        <w:t xml:space="preserve">Objective. </w:t>
      </w:r>
      <w:r>
        <w:t>Deliver outbox work reliably with at-least-once transport and exactly-once business effect.</w:t>
      </w:r>
    </w:p>
    <w:p>
      <w:r>
        <w:rPr>
          <w:b/>
        </w:rPr>
        <w:t xml:space="preserve">Primary impact. </w:t>
      </w:r>
      <w:r>
        <w:t>Java backend; optional DB-backed worker first.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Implement claim/lease semantics safe for multiple dispatcher instances.</w:t>
      </w:r>
    </w:p>
    <w:p>
      <w:pPr>
        <w:pStyle w:val="ListBullet"/>
        <w:spacing w:after="20"/>
      </w:pPr>
      <w:r>
        <w:t>Define retry policy with bounded exponential backoff and terminal failure state.</w:t>
      </w:r>
    </w:p>
    <w:p>
      <w:pPr>
        <w:pStyle w:val="ListBullet"/>
        <w:spacing w:after="20"/>
      </w:pPr>
      <w:r>
        <w:t>Propagate deterministic request_id/idempotency key to AI plane.</w:t>
      </w:r>
    </w:p>
    <w:p>
      <w:pPr>
        <w:pStyle w:val="ListBullet"/>
        <w:spacing w:after="20"/>
      </w:pPr>
      <w:r>
        <w:t>Implement recovery/replay tooling and operational visibility.</w:t>
      </w:r>
    </w:p>
    <w:p>
      <w:pPr>
        <w:pStyle w:val="ListBullet"/>
        <w:spacing w:after="20"/>
      </w:pPr>
      <w:r>
        <w:t>Define dead-letter/manual-recovery procedure without silently dropping work.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Restart during dispatch eventually completes pending work.</w:t>
      </w:r>
    </w:p>
    <w:p>
      <w:pPr>
        <w:pStyle w:val="ListBullet"/>
        <w:spacing w:after="20"/>
      </w:pPr>
      <w:r>
        <w:t>Duplicate delivery produces one authoritative effect.</w:t>
      </w:r>
    </w:p>
    <w:p>
      <w:pPr>
        <w:pStyle w:val="ListBullet"/>
        <w:spacing w:after="20"/>
      </w:pPr>
      <w:r>
        <w:t>Poison work becomes visible and recoverable rather than retrying forever.</w:t>
      </w:r>
    </w:p>
    <w:p>
      <w:pPr>
        <w:pStyle w:val="ListBullet"/>
        <w:spacing w:after="20"/>
      </w:pPr>
      <w:r>
        <w:t>Concurrency tests prove two dispatchers cannot double-process a lease.</w:t>
      </w:r>
    </w:p>
    <w:p>
      <w:r>
        <w:rPr>
          <w:b/>
        </w:rPr>
        <w:t xml:space="preserve">Claude/Codex guardrail. </w:t>
      </w:r>
      <w:r>
        <w:t>Do not introduce Kafka merely for architectural fashion; add it only through a separate justified ADR.</w:t>
      </w:r>
    </w:p>
    <w:p>
      <w:pPr>
        <w:pStyle w:val="Heading2"/>
      </w:pPr>
      <w:r>
        <w:t>M2-T04 - AI provenance v2 - close TD-RC8-02</w:t>
      </w:r>
    </w:p>
    <w:p>
      <w:r>
        <w:rPr>
          <w:b/>
        </w:rPr>
        <w:t xml:space="preserve">Objective. </w:t>
      </w:r>
      <w:r>
        <w:t>Persist enough immutable provenance to identify exactly which provider/model/configuration produced each AI result.</w:t>
      </w:r>
    </w:p>
    <w:p>
      <w:r>
        <w:rPr>
          <w:b/>
        </w:rPr>
        <w:t xml:space="preserve">Primary impact. </w:t>
      </w:r>
      <w:r>
        <w:t>Python AI plane + Java persistence + PostgreSQL.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Extend ai_execution to capture resolved provider, concrete model_id and route/configuration version.</w:t>
      </w:r>
    </w:p>
    <w:p>
      <w:pPr>
        <w:pStyle w:val="ListBullet"/>
        <w:spacing w:after="20"/>
      </w:pPr>
      <w:r>
        <w:t>Retain model_route, prompt_template_id, prompt_version, agent_run_id, request_id, interaction_id and trace_id.</w:t>
      </w:r>
    </w:p>
    <w:p>
      <w:pPr>
        <w:pStyle w:val="ListBullet"/>
        <w:spacing w:after="20"/>
      </w:pPr>
      <w:r>
        <w:t>Add input/output hashes and token/cost metadata where provider data is available.</w:t>
      </w:r>
    </w:p>
    <w:p>
      <w:pPr>
        <w:pStyle w:val="ListBullet"/>
        <w:spacing w:after="20"/>
      </w:pPr>
      <w:r>
        <w:t>Ensure the AI plane returns resolved routing metadata and backend persists it without trusting client-supplied authority fields.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A single ai_execution row can establish route, route version, provider and concrete model.</w:t>
      </w:r>
    </w:p>
    <w:p>
      <w:pPr>
        <w:pStyle w:val="ListBullet"/>
        <w:spacing w:after="20"/>
      </w:pPr>
      <w:r>
        <w:t>Live and ci-fake executions are distinguishable.</w:t>
      </w:r>
    </w:p>
    <w:p>
      <w:pPr>
        <w:pStyle w:val="ListBullet"/>
        <w:spacing w:after="20"/>
      </w:pPr>
      <w:r>
        <w:t>No secret is persisted.</w:t>
      </w:r>
    </w:p>
    <w:p>
      <w:pPr>
        <w:pStyle w:val="ListBullet"/>
        <w:spacing w:after="20"/>
      </w:pPr>
      <w:r>
        <w:t>Historical rows remain valid through nullable/compatible migration strategy.</w:t>
      </w:r>
    </w:p>
    <w:p>
      <w:r>
        <w:rPr>
          <w:b/>
        </w:rPr>
        <w:t xml:space="preserve">Claude/Codex guardrail. </w:t>
      </w:r>
      <w:r>
        <w:t>Do not overwrite historical execution provenance when route tables later change.</w:t>
      </w:r>
    </w:p>
    <w:p>
      <w:pPr>
        <w:pStyle w:val="Heading2"/>
      </w:pPr>
      <w:r>
        <w:t>M2-T05 - Grounded Context Contract</w:t>
      </w:r>
    </w:p>
    <w:p>
      <w:r>
        <w:rPr>
          <w:b/>
        </w:rPr>
        <w:t xml:space="preserve">Objective. </w:t>
      </w:r>
      <w:r>
        <w:t>Define the versioned, bounded context package every grounded agent consumes.</w:t>
      </w:r>
    </w:p>
    <w:p>
      <w:r>
        <w:rPr>
          <w:b/>
        </w:rPr>
        <w:t xml:space="preserve">Primary impact. </w:t>
      </w:r>
      <w:r>
        <w:t>Contracts + Java context producer + Python consumer.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Specify learner state, skill/mastery snapshot, evidence references, curriculum constraints, approved content references, policy constraints and context version.</w:t>
      </w:r>
    </w:p>
    <w:p>
      <w:pPr>
        <w:pStyle w:val="ListBullet"/>
        <w:spacing w:after="20"/>
      </w:pPr>
      <w:r>
        <w:t>Define freshness, maximum size, redaction and missing-context semantics.</w:t>
      </w:r>
    </w:p>
    <w:p>
      <w:pPr>
        <w:pStyle w:val="ListBullet"/>
        <w:spacing w:after="20"/>
      </w:pPr>
      <w:r>
        <w:t>Separate authoritative facts from model-generated summaries.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Schema validation exists in Java and Python.</w:t>
      </w:r>
    </w:p>
    <w:p>
      <w:pPr>
        <w:pStyle w:val="ListBullet"/>
        <w:spacing w:after="20"/>
      </w:pPr>
      <w:r>
        <w:t>Every context item has source/type/version metadata.</w:t>
      </w:r>
    </w:p>
    <w:p>
      <w:pPr>
        <w:pStyle w:val="ListBullet"/>
        <w:spacing w:after="20"/>
      </w:pPr>
      <w:r>
        <w:t>Missing required grounding fails closed for agents that require it.</w:t>
      </w:r>
    </w:p>
    <w:p>
      <w:r>
        <w:rPr>
          <w:b/>
        </w:rPr>
        <w:t xml:space="preserve">Claude/Codex guardrail. </w:t>
      </w:r>
      <w:r>
        <w:t>Do not pass arbitrary database dumps or unrestricted learner records into prompts.</w:t>
      </w:r>
    </w:p>
    <w:p>
      <w:pPr>
        <w:pStyle w:val="Heading2"/>
      </w:pPr>
      <w:r>
        <w:t>M2-T06 - Evidence and context retrieval</w:t>
      </w:r>
    </w:p>
    <w:p>
      <w:r>
        <w:rPr>
          <w:b/>
        </w:rPr>
        <w:t xml:space="preserve">Objective. </w:t>
      </w:r>
      <w:r>
        <w:t>Build deterministic retrieval of the approved evidence needed by agents.</w:t>
      </w:r>
    </w:p>
    <w:p>
      <w:r>
        <w:rPr>
          <w:b/>
        </w:rPr>
        <w:t xml:space="preserve">Primary impact. </w:t>
      </w:r>
      <w:r>
        <w:t>Primarily Java/domain retrieval; AI plane consumes contract.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Create retrieval services for learner evidence, skill graph, mastery snapshot, assessment artifacts and approved learning content.</w:t>
      </w:r>
    </w:p>
    <w:p>
      <w:pPr>
        <w:pStyle w:val="ListBullet"/>
        <w:spacing w:after="20"/>
      </w:pPr>
      <w:r>
        <w:t>Use stable IDs and deterministic ordering where reproducibility matters.</w:t>
      </w:r>
    </w:p>
    <w:p>
      <w:pPr>
        <w:pStyle w:val="ListBullet"/>
        <w:spacing w:after="20"/>
      </w:pPr>
      <w:r>
        <w:t>Capture retrieval set/version in execution evidence.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Same authoritative state yields reproducible context selection under the same retrieval policy.</w:t>
      </w:r>
    </w:p>
    <w:p>
      <w:pPr>
        <w:pStyle w:val="ListBullet"/>
        <w:spacing w:after="20"/>
      </w:pPr>
      <w:r>
        <w:t>Unauthorized learner/tenant data cannot enter another learner's context.</w:t>
      </w:r>
    </w:p>
    <w:p>
      <w:pPr>
        <w:pStyle w:val="ListBullet"/>
        <w:spacing w:after="20"/>
      </w:pPr>
      <w:r>
        <w:t>Retrieval latency and size are bounded.</w:t>
      </w:r>
    </w:p>
    <w:p>
      <w:r>
        <w:rPr>
          <w:b/>
        </w:rPr>
        <w:t xml:space="preserve">Claude/Codex guardrail. </w:t>
      </w:r>
      <w:r>
        <w:t>Do not let the LLM choose unrestricted SQL or arbitrary internal data sources.</w:t>
      </w:r>
    </w:p>
    <w:p>
      <w:pPr>
        <w:pStyle w:val="Heading2"/>
      </w:pPr>
      <w:r>
        <w:t>M2-T07 - Grounding and evidence validation</w:t>
      </w:r>
    </w:p>
    <w:p>
      <w:r>
        <w:rPr>
          <w:b/>
        </w:rPr>
        <w:t xml:space="preserve">Objective. </w:t>
      </w:r>
      <w:r>
        <w:t>Prevent unsupported proposals from becoming authoritative recommendations.</w:t>
      </w:r>
    </w:p>
    <w:p>
      <w:r>
        <w:rPr>
          <w:b/>
        </w:rPr>
        <w:t xml:space="preserve">Primary impact. </w:t>
      </w:r>
      <w:r>
        <w:t>Java proposal-gate layer + contract tests.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Validate evidence IDs referenced by AI output.</w:t>
      </w:r>
    </w:p>
    <w:p>
      <w:pPr>
        <w:pStyle w:val="ListBullet"/>
        <w:spacing w:after="20"/>
      </w:pPr>
      <w:r>
        <w:t>Reject references not present in the supplied grounded context.</w:t>
      </w:r>
    </w:p>
    <w:p>
      <w:pPr>
        <w:pStyle w:val="ListBullet"/>
        <w:spacing w:after="20"/>
      </w:pPr>
      <w:r>
        <w:t>Define minimum grounding/confidence requirements by proposal type.</w:t>
      </w:r>
    </w:p>
    <w:p>
      <w:pPr>
        <w:pStyle w:val="ListBullet"/>
        <w:spacing w:after="20"/>
      </w:pPr>
      <w:r>
        <w:t>Capture validation reasons in auditable decision records.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Fabricated evidence IDs are rejected.</w:t>
      </w:r>
    </w:p>
    <w:p>
      <w:pPr>
        <w:pStyle w:val="ListBullet"/>
        <w:spacing w:after="20"/>
      </w:pPr>
      <w:r>
        <w:t>Unsupported claims cannot pass the proposal gate.</w:t>
      </w:r>
    </w:p>
    <w:p>
      <w:pPr>
        <w:pStyle w:val="ListBullet"/>
        <w:spacing w:after="20"/>
      </w:pPr>
      <w:r>
        <w:t>Rejection is deterministic and observable.</w:t>
      </w:r>
    </w:p>
    <w:p>
      <w:r>
        <w:rPr>
          <w:b/>
        </w:rPr>
        <w:t xml:space="preserve">Claude/Codex guardrail. </w:t>
      </w:r>
      <w:r>
        <w:t>Do not rely on the model's self-reported confidence as the only validation signal.</w:t>
      </w:r>
    </w:p>
    <w:p>
      <w:pPr>
        <w:pStyle w:val="Heading2"/>
      </w:pPr>
      <w:r>
        <w:t>M2-T08 - Diagnostic Agent</w:t>
      </w:r>
    </w:p>
    <w:p>
      <w:r>
        <w:rPr>
          <w:b/>
        </w:rPr>
        <w:t xml:space="preserve">Objective. </w:t>
      </w:r>
      <w:r>
        <w:t>Introduce the first new MVP-2 agent as a proposal-only diagnostic analyst.</w:t>
      </w:r>
    </w:p>
    <w:p>
      <w:r>
        <w:rPr>
          <w:b/>
        </w:rPr>
        <w:t xml:space="preserve">Primary impact. </w:t>
      </w:r>
      <w:r>
        <w:t>Python AI plane.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Implement a LangGraph or equivalent controlled graph: receive context -&gt; validate -&gt; invoke model -&gt; structured output -&gt; local validation -&gt; return proposal.</w:t>
      </w:r>
    </w:p>
    <w:p>
      <w:pPr>
        <w:pStyle w:val="ListBullet"/>
        <w:spacing w:after="20"/>
      </w:pPr>
      <w:r>
        <w:t>Return skill-level diagnostic classifications, evidence references, recommended next skills and confidence.</w:t>
      </w:r>
    </w:p>
    <w:p>
      <w:pPr>
        <w:pStyle w:val="ListBullet"/>
        <w:spacing w:after="20"/>
      </w:pPr>
      <w:r>
        <w:t>Use model routing and provenance v2.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Agent never writes core/ledger tables.</w:t>
      </w:r>
    </w:p>
    <w:p>
      <w:pPr>
        <w:pStyle w:val="ListBullet"/>
        <w:spacing w:after="20"/>
      </w:pPr>
      <w:r>
        <w:t>Output conforms to DiagnosticProposal contract.</w:t>
      </w:r>
    </w:p>
    <w:p>
      <w:pPr>
        <w:pStyle w:val="ListBullet"/>
        <w:spacing w:after="20"/>
      </w:pPr>
      <w:r>
        <w:t>Every diagnostic assertion references permitted evidence.</w:t>
      </w:r>
    </w:p>
    <w:p>
      <w:pPr>
        <w:pStyle w:val="ListBullet"/>
        <w:spacing w:after="20"/>
      </w:pPr>
      <w:r>
        <w:t>Timeout/provider failure produces controlled failure without changing authoritative learner state.</w:t>
      </w:r>
    </w:p>
    <w:p>
      <w:r>
        <w:rPr>
          <w:b/>
        </w:rPr>
        <w:t xml:space="preserve">Claude/Codex guardrail. </w:t>
      </w:r>
      <w:r>
        <w:t>Do not calculate or overwrite authoritative mastery in the agent.</w:t>
      </w:r>
    </w:p>
    <w:p>
      <w:pPr>
        <w:pStyle w:val="Heading2"/>
      </w:pPr>
      <w:r>
        <w:t>M2-T09 - DiagnosticProposalGate</w:t>
      </w:r>
    </w:p>
    <w:p>
      <w:r>
        <w:rPr>
          <w:b/>
        </w:rPr>
        <w:t xml:space="preserve">Objective. </w:t>
      </w:r>
      <w:r>
        <w:t>Make Spring the authoritative acceptance boundary for diagnostic proposals.</w:t>
      </w:r>
    </w:p>
    <w:p>
      <w:r>
        <w:rPr>
          <w:b/>
        </w:rPr>
        <w:t xml:space="preserve">Primary impact. </w:t>
      </w:r>
      <w:r>
        <w:t>Java backend + DB decision records.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Implement schema, evidence, semantic, policy and confidence validation.</w:t>
      </w:r>
    </w:p>
    <w:p>
      <w:pPr>
        <w:pStyle w:val="ListBullet"/>
        <w:spacing w:after="20"/>
      </w:pPr>
      <w:r>
        <w:t>Persist accept/reject decision with reason codes.</w:t>
      </w:r>
    </w:p>
    <w:p>
      <w:pPr>
        <w:pStyle w:val="ListBullet"/>
        <w:spacing w:after="20"/>
      </w:pPr>
      <w:r>
        <w:t>Define idempotency against agent_run_id/request_id.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Same proposal + same authoritative state yields same gate decision.</w:t>
      </w:r>
    </w:p>
    <w:p>
      <w:pPr>
        <w:pStyle w:val="ListBullet"/>
        <w:spacing w:after="20"/>
      </w:pPr>
      <w:r>
        <w:t>Malformed, unsupported and policy-invalid proposals fail closed.</w:t>
      </w:r>
    </w:p>
    <w:p>
      <w:pPr>
        <w:pStyle w:val="ListBullet"/>
        <w:spacing w:after="20"/>
      </w:pPr>
      <w:r>
        <w:t>Accepted diagnostic output cannot bypass downstream deterministic rules.</w:t>
      </w:r>
    </w:p>
    <w:p>
      <w:r>
        <w:rPr>
          <w:b/>
        </w:rPr>
        <w:t xml:space="preserve">Claude/Codex guardrail. </w:t>
      </w:r>
      <w:r>
        <w:t>Do not treat LLM prose as an executable decision.</w:t>
      </w:r>
    </w:p>
    <w:p>
      <w:pPr>
        <w:pStyle w:val="Heading2"/>
      </w:pPr>
      <w:r>
        <w:t>M2-T10 - Diagnostic E2E and evaluation</w:t>
      </w:r>
    </w:p>
    <w:p>
      <w:r>
        <w:rPr>
          <w:b/>
        </w:rPr>
        <w:t xml:space="preserve">Objective. </w:t>
      </w:r>
      <w:r>
        <w:t>Prove diagnosis quality, robustness and traceability before adding the next agent.</w:t>
      </w:r>
    </w:p>
    <w:p>
      <w:r>
        <w:rPr>
          <w:b/>
        </w:rPr>
        <w:t xml:space="preserve">Primary impact. </w:t>
      </w:r>
      <w:r>
        <w:t>Evaluation harness + integration/E2E.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Build golden scenarios for known learner weaknesses.</w:t>
      </w:r>
    </w:p>
    <w:p>
      <w:pPr>
        <w:pStyle w:val="ListBullet"/>
        <w:spacing w:after="20"/>
      </w:pPr>
      <w:r>
        <w:t>Add perturbation tests changing one evidence/mastery dimension at a time.</w:t>
      </w:r>
    </w:p>
    <w:p>
      <w:pPr>
        <w:pStyle w:val="ListBullet"/>
        <w:spacing w:after="20"/>
      </w:pPr>
      <w:r>
        <w:t>Measure schema validity, evidence support, stability and business usefulness.</w:t>
      </w:r>
    </w:p>
    <w:p>
      <w:pPr>
        <w:pStyle w:val="ListBullet"/>
        <w:spacing w:after="20"/>
      </w:pPr>
      <w:r>
        <w:t>Exercise provider timeout, malformed output and retry paths.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Defined evaluation thresholds pass.</w:t>
      </w:r>
    </w:p>
    <w:p>
      <w:pPr>
        <w:pStyle w:val="ListBullet"/>
        <w:spacing w:after="20"/>
      </w:pPr>
      <w:r>
        <w:t>Perturbations produce explainable changes or stable behavior as expected.</w:t>
      </w:r>
    </w:p>
    <w:p>
      <w:pPr>
        <w:pStyle w:val="ListBullet"/>
        <w:spacing w:after="20"/>
      </w:pPr>
      <w:r>
        <w:t>Full interactionId/traceId/agentRunId chain is queryable.</w:t>
      </w:r>
    </w:p>
    <w:p>
      <w:r>
        <w:rPr>
          <w:b/>
        </w:rPr>
        <w:t xml:space="preserve">Claude/Codex guardrail. </w:t>
      </w:r>
      <w:r>
        <w:t>Do not tune tests to a single provider's wording; test contracts and behavior.</w:t>
      </w:r>
    </w:p>
    <w:p>
      <w:pPr>
        <w:pStyle w:val="Heading2"/>
      </w:pPr>
      <w:r>
        <w:t>M2-T11 - Assessment Evaluation Agent</w:t>
      </w:r>
    </w:p>
    <w:p>
      <w:r>
        <w:rPr>
          <w:b/>
        </w:rPr>
        <w:t xml:space="preserve">Objective. </w:t>
      </w:r>
      <w:r>
        <w:t>Provide AI-assisted rubric evaluation for responses that cannot be scored deterministically.</w:t>
      </w:r>
    </w:p>
    <w:p>
      <w:r>
        <w:rPr>
          <w:b/>
        </w:rPr>
        <w:t xml:space="preserve">Primary impact. </w:t>
      </w:r>
      <w:r>
        <w:t>Python AI plane + assessment contracts.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Route deterministic question types to deterministic scorers first.</w:t>
      </w:r>
    </w:p>
    <w:p>
      <w:pPr>
        <w:pStyle w:val="ListBullet"/>
        <w:spacing w:after="20"/>
      </w:pPr>
      <w:r>
        <w:t>For eligible free-text/design answers, build grounded rubric context and invoke Evaluation Agent.</w:t>
      </w:r>
    </w:p>
    <w:p>
      <w:pPr>
        <w:pStyle w:val="ListBullet"/>
        <w:spacing w:after="20"/>
      </w:pPr>
      <w:r>
        <w:t>Return rubric dimensions, evidence, feedback and confidence as a proposal.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MCQ/numeric/exact-match paths remain deterministic.</w:t>
      </w:r>
    </w:p>
    <w:p>
      <w:pPr>
        <w:pStyle w:val="ListBullet"/>
        <w:spacing w:after="20"/>
      </w:pPr>
      <w:r>
        <w:t>AI evaluation is structured and rubric-bound.</w:t>
      </w:r>
    </w:p>
    <w:p>
      <w:pPr>
        <w:pStyle w:val="ListBullet"/>
        <w:spacing w:after="20"/>
      </w:pPr>
      <w:r>
        <w:t>Provider failure cannot invent or commit a score.</w:t>
      </w:r>
    </w:p>
    <w:p>
      <w:r>
        <w:rPr>
          <w:b/>
        </w:rPr>
        <w:t xml:space="preserve">Claude/Codex guardrail. </w:t>
      </w:r>
      <w:r>
        <w:t>Do not give the agent unilateral final-score authority.</w:t>
      </w:r>
    </w:p>
    <w:p>
      <w:pPr>
        <w:pStyle w:val="Heading2"/>
      </w:pPr>
      <w:r>
        <w:t>M2-T12 - EvaluationProposalGate</w:t>
      </w:r>
    </w:p>
    <w:p>
      <w:r>
        <w:rPr>
          <w:b/>
        </w:rPr>
        <w:t xml:space="preserve">Objective. </w:t>
      </w:r>
      <w:r>
        <w:t>Validate AI-assisted evaluation before authoritative assessment/evidence updates.</w:t>
      </w:r>
    </w:p>
    <w:p>
      <w:r>
        <w:rPr>
          <w:b/>
        </w:rPr>
        <w:t xml:space="preserve">Primary impact. </w:t>
      </w:r>
      <w:r>
        <w:t>Java assessment/evidence services.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Validate rubric dimensions/ranges, grounding, policy and confidence.</w:t>
      </w:r>
    </w:p>
    <w:p>
      <w:pPr>
        <w:pStyle w:val="ListBullet"/>
        <w:spacing w:after="20"/>
      </w:pPr>
      <w:r>
        <w:t>Define accepted/rejected/manual-review outcomes where appropriate.</w:t>
      </w:r>
    </w:p>
    <w:p>
      <w:pPr>
        <w:pStyle w:val="ListBullet"/>
        <w:spacing w:after="20"/>
      </w:pPr>
      <w:r>
        <w:t>Persist evaluation decision and link it to learner answer and ai_execution.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Invalid rubric output cannot affect mastery.</w:t>
      </w:r>
    </w:p>
    <w:p>
      <w:pPr>
        <w:pStyle w:val="ListBullet"/>
        <w:spacing w:after="20"/>
      </w:pPr>
      <w:r>
        <w:t>Accepted output is fully traceable to answer, rubric, model execution and gate decision.</w:t>
      </w:r>
    </w:p>
    <w:p>
      <w:pPr>
        <w:pStyle w:val="ListBullet"/>
        <w:spacing w:after="20"/>
      </w:pPr>
      <w:r>
        <w:t>Replay is idempotent.</w:t>
      </w:r>
    </w:p>
    <w:p>
      <w:r>
        <w:rPr>
          <w:b/>
        </w:rPr>
        <w:t xml:space="preserve">Claude/Codex guardrail. </w:t>
      </w:r>
      <w:r>
        <w:t>Do not hide disagreement between deterministic checks and AI proposal; record it.</w:t>
      </w:r>
    </w:p>
    <w:p>
      <w:pPr>
        <w:pStyle w:val="Heading2"/>
      </w:pPr>
      <w:r>
        <w:t>M2-T13 - Learner-facing evaluation and feedback</w:t>
      </w:r>
    </w:p>
    <w:p>
      <w:r>
        <w:rPr>
          <w:b/>
        </w:rPr>
        <w:t xml:space="preserve">Objective. </w:t>
      </w:r>
      <w:r>
        <w:t>Expose approved evaluation feedback to the learner without leaking internal chain-of-thought or unsafe metadata.</w:t>
      </w:r>
    </w:p>
    <w:p>
      <w:r>
        <w:rPr>
          <w:b/>
        </w:rPr>
        <w:t xml:space="preserve">Primary impact. </w:t>
      </w:r>
      <w:r>
        <w:t>Java API + React UI.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Add API read model for approved feedback, rubric result and next-learning rationale.</w:t>
      </w:r>
    </w:p>
    <w:p>
      <w:pPr>
        <w:pStyle w:val="ListBullet"/>
        <w:spacing w:after="20"/>
      </w:pPr>
      <w:r>
        <w:t>Add React UI states for pending, evaluated, rejected/manual-review and unavailable feedback.</w:t>
      </w:r>
    </w:p>
    <w:p>
      <w:pPr>
        <w:pStyle w:val="ListBullet"/>
        <w:spacing w:after="20"/>
      </w:pPr>
      <w:r>
        <w:t>Keep internal prompts, raw model reasoning and secrets out of the learner payload.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Learner sees only authorized approved feedback.</w:t>
      </w:r>
    </w:p>
    <w:p>
      <w:pPr>
        <w:pStyle w:val="ListBullet"/>
        <w:spacing w:after="20"/>
      </w:pPr>
      <w:r>
        <w:t>UI handles asynchronous completion and retry-safe refresh.</w:t>
      </w:r>
    </w:p>
    <w:p>
      <w:pPr>
        <w:pStyle w:val="ListBullet"/>
        <w:spacing w:after="20"/>
      </w:pPr>
      <w:r>
        <w:t>Accessibility and API authorization tests pass.</w:t>
      </w:r>
    </w:p>
    <w:p>
      <w:r>
        <w:rPr>
          <w:b/>
        </w:rPr>
        <w:t xml:space="preserve">Claude/Codex guardrail. </w:t>
      </w:r>
      <w:r>
        <w:t>Do not expose raw prompts, provider secrets, hidden reasoning or internal policy diagnostics.</w:t>
      </w:r>
    </w:p>
    <w:p>
      <w:pPr>
        <w:pStyle w:val="Heading2"/>
      </w:pPr>
      <w:r>
        <w:t>M2-T14 - Controlled multi-agent orchestration</w:t>
      </w:r>
    </w:p>
    <w:p>
      <w:r>
        <w:rPr>
          <w:b/>
        </w:rPr>
        <w:t xml:space="preserve">Objective. </w:t>
      </w:r>
      <w:r>
        <w:t>Compose evaluation, diagnosis and adaptation as an explicit workflow rather than autonomous peer-to-peer agents.</w:t>
      </w:r>
    </w:p>
    <w:p>
      <w:r>
        <w:rPr>
          <w:b/>
        </w:rPr>
        <w:t xml:space="preserve">Primary impact. </w:t>
      </w:r>
      <w:r>
        <w:t>Java orchestration trigger + Python LangGraph.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Define event/workflow triggers and eligibility rules.</w:t>
      </w:r>
    </w:p>
    <w:p>
      <w:pPr>
        <w:pStyle w:val="ListBullet"/>
        <w:spacing w:after="20"/>
      </w:pPr>
      <w:r>
        <w:t>Use LangGraph inside AI plane only for agent execution flow; authoritative workflow milestones remain externally observable.</w:t>
      </w:r>
    </w:p>
    <w:p>
      <w:pPr>
        <w:pStyle w:val="ListBullet"/>
        <w:spacing w:after="20"/>
      </w:pPr>
      <w:r>
        <w:t>Implement correlation across evaluation -&gt; mastery/evidence update -&gt; diagnostic -&gt; adaptation.</w:t>
      </w:r>
    </w:p>
    <w:p>
      <w:pPr>
        <w:pStyle w:val="ListBullet"/>
        <w:spacing w:after="20"/>
      </w:pPr>
      <w:r>
        <w:t>Add cancellation, timeout and partial-failure semantics.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Workflow is deterministic in trigger/authority boundaries.</w:t>
      </w:r>
    </w:p>
    <w:p>
      <w:pPr>
        <w:pStyle w:val="ListBullet"/>
        <w:spacing w:after="20"/>
      </w:pPr>
      <w:r>
        <w:t>No agent can invoke another agent in an unbounded loop.</w:t>
      </w:r>
    </w:p>
    <w:p>
      <w:pPr>
        <w:pStyle w:val="ListBullet"/>
        <w:spacing w:after="20"/>
      </w:pPr>
      <w:r>
        <w:t>Every step is separately observable, retryable and attributable.</w:t>
      </w:r>
    </w:p>
    <w:p>
      <w:r>
        <w:rPr>
          <w:b/>
        </w:rPr>
        <w:t xml:space="preserve">Claude/Codex guardrail. </w:t>
      </w:r>
      <w:r>
        <w:t>Do not move authoritative mastery/progression state into LangGraph checkpoints.</w:t>
      </w:r>
    </w:p>
    <w:p>
      <w:pPr>
        <w:pStyle w:val="Heading2"/>
      </w:pPr>
      <w:r>
        <w:t>M2-T15 - Reliability, perturbation, performance and security qualification</w:t>
      </w:r>
    </w:p>
    <w:p>
      <w:r>
        <w:rPr>
          <w:b/>
        </w:rPr>
        <w:t xml:space="preserve">Objective. </w:t>
      </w:r>
      <w:r>
        <w:t>Stress the complete MVP-2 chain before release candidacy.</w:t>
      </w:r>
    </w:p>
    <w:p>
      <w:r>
        <w:rPr>
          <w:b/>
        </w:rPr>
        <w:t xml:space="preserve">Primary impact. </w:t>
      </w:r>
      <w:r>
        <w:t>Full stack + CI/CD/evaluation.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Crash/restart dispatcher tests; duplicate delivery tests; provider outage/latency tests.</w:t>
      </w:r>
    </w:p>
    <w:p>
      <w:pPr>
        <w:pStyle w:val="ListBullet"/>
        <w:spacing w:after="20"/>
      </w:pPr>
      <w:r>
        <w:t>Grounding corruption/fabrication tests and prompt-injection tests.</w:t>
      </w:r>
    </w:p>
    <w:p>
      <w:pPr>
        <w:pStyle w:val="ListBullet"/>
        <w:spacing w:after="20"/>
      </w:pPr>
      <w:r>
        <w:t>Performance tests for outbox backlog, dispatch latency, context retrieval and agent concurrency.</w:t>
      </w:r>
    </w:p>
    <w:p>
      <w:pPr>
        <w:pStyle w:val="ListBullet"/>
        <w:spacing w:after="20"/>
      </w:pPr>
      <w:r>
        <w:t>Security tests for authorization, secret handling, data minimization and cross-learner isolation.</w:t>
      </w:r>
    </w:p>
    <w:p>
      <w:pPr>
        <w:pStyle w:val="ListBullet"/>
        <w:spacing w:after="20"/>
      </w:pPr>
      <w:r>
        <w:t>Perturbation tests for learner evidence and routing/provider changes.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No lost durable work under tested crash points.</w:t>
      </w:r>
    </w:p>
    <w:p>
      <w:pPr>
        <w:pStyle w:val="ListBullet"/>
        <w:spacing w:after="20"/>
      </w:pPr>
      <w:r>
        <w:t>No duplicate authoritative business effects.</w:t>
      </w:r>
    </w:p>
    <w:p>
      <w:pPr>
        <w:pStyle w:val="ListBullet"/>
        <w:spacing w:after="20"/>
      </w:pPr>
      <w:r>
        <w:t>Security gates and defined SLOs pass.</w:t>
      </w:r>
    </w:p>
    <w:p>
      <w:pPr>
        <w:pStyle w:val="ListBullet"/>
        <w:spacing w:after="20"/>
      </w:pPr>
      <w:r>
        <w:t>Failure modes are visible and recoverable.</w:t>
      </w:r>
    </w:p>
    <w:p>
      <w:r>
        <w:rPr>
          <w:b/>
        </w:rPr>
        <w:t xml:space="preserve">Claude/Codex guardrail. </w:t>
      </w:r>
      <w:r>
        <w:t>Do not qualify only the happy path or rely only on mocked provider behavior.</w:t>
      </w:r>
    </w:p>
    <w:p>
      <w:pPr>
        <w:pStyle w:val="Heading2"/>
      </w:pPr>
      <w:r>
        <w:t>M2-T16 - MVP-2 release qualification and closure</w:t>
      </w:r>
    </w:p>
    <w:p>
      <w:r>
        <w:rPr>
          <w:b/>
        </w:rPr>
        <w:t xml:space="preserve">Objective. </w:t>
      </w:r>
      <w:r>
        <w:t>Create an evidence-backed release decision for the exact candidate.</w:t>
      </w:r>
    </w:p>
    <w:p>
      <w:r>
        <w:rPr>
          <w:b/>
        </w:rPr>
        <w:t xml:space="preserve">Primary impact. </w:t>
      </w:r>
      <w:r>
        <w:t>Release evidence/governance only.</w:t>
      </w:r>
    </w:p>
    <w:p>
      <w:pPr>
        <w:pStyle w:val="Heading3"/>
      </w:pPr>
      <w:r>
        <w:t>Implementation</w:t>
      </w:r>
    </w:p>
    <w:p>
      <w:pPr>
        <w:pStyle w:val="ListBullet"/>
        <w:spacing w:after="20"/>
      </w:pPr>
      <w:r>
        <w:t>Freeze candidate SHA/digests and migrations.</w:t>
      </w:r>
    </w:p>
    <w:p>
      <w:pPr>
        <w:pStyle w:val="ListBullet"/>
        <w:spacing w:after="20"/>
      </w:pPr>
      <w:r>
        <w:t>Run canonical governance, security, performance, E2E and rollback checks.</w:t>
      </w:r>
    </w:p>
    <w:p>
      <w:pPr>
        <w:pStyle w:val="ListBullet"/>
        <w:spacing w:after="20"/>
      </w:pPr>
      <w:r>
        <w:t>Reconcile all MVP-2 acceptance criteria and debt.</w:t>
      </w:r>
    </w:p>
    <w:p>
      <w:pPr>
        <w:pStyle w:val="ListBullet"/>
        <w:spacing w:after="20"/>
      </w:pPr>
      <w:r>
        <w:t>Produce machine-readable technical gate plus separate release-decision record if governance grammar requires it.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Candidate integrity PASS.</w:t>
      </w:r>
    </w:p>
    <w:p>
      <w:pPr>
        <w:pStyle w:val="ListBullet"/>
        <w:spacing w:after="20"/>
      </w:pPr>
      <w:r>
        <w:t>Governance PASS.</w:t>
      </w:r>
    </w:p>
    <w:p>
      <w:pPr>
        <w:pStyle w:val="ListBullet"/>
        <w:spacing w:after="20"/>
      </w:pPr>
      <w:r>
        <w:t>Evidence consistency PASS.</w:t>
      </w:r>
    </w:p>
    <w:p>
      <w:pPr>
        <w:pStyle w:val="ListBullet"/>
        <w:spacing w:after="20"/>
      </w:pPr>
      <w:r>
        <w:t>All mandatory MVP-2 criteria PASS or explicitly accepted according to release policy.</w:t>
      </w:r>
    </w:p>
    <w:p>
      <w:pPr>
        <w:pStyle w:val="ListBullet"/>
        <w:spacing w:after="20"/>
      </w:pPr>
      <w:r>
        <w:t>No production-readiness overclaim.</w:t>
      </w:r>
    </w:p>
    <w:p>
      <w:r>
        <w:rPr>
          <w:b/>
        </w:rPr>
        <w:t xml:space="preserve">Claude/Codex guardrail. </w:t>
      </w:r>
      <w:r>
        <w:t>Do not rewrite historical evidence or fix unrelated debt inside closure.</w:t>
      </w:r>
    </w:p>
    <w:p>
      <w:pPr>
        <w:pStyle w:val="Heading1"/>
      </w:pPr>
      <w:r>
        <w:t>8. Dependency and gate map</w:t>
      </w:r>
    </w:p>
    <w:p>
      <w:pPr>
        <w:pStyle w:val="CodeBlock"/>
      </w:pPr>
      <w:r>
        <w:t>T01 Contracts/ADRs</w:t>
        <w:br/>
        <w:t xml:space="preserve">      |</w:t>
        <w:br/>
        <w:t xml:space="preserve">      v</w:t>
        <w:br/>
        <w:t>T02 Outbox --&gt; T03 Dispatcher</w:t>
        <w:br/>
        <w:t xml:space="preserve">      |             |</w:t>
        <w:br/>
        <w:t xml:space="preserve">      +-------&gt; T04 Provenance v2</w:t>
        <w:br/>
        <w:t xml:space="preserve">                     |</w:t>
        <w:br/>
        <w:t xml:space="preserve">                     v</w:t>
        <w:br/>
        <w:t xml:space="preserve">              T05 Grounded Context</w:t>
        <w:br/>
        <w:t xml:space="preserve">                     |</w:t>
        <w:br/>
        <w:t xml:space="preserve">              T06 Retrieval</w:t>
        <w:br/>
        <w:t xml:space="preserve">                     |</w:t>
        <w:br/>
        <w:t xml:space="preserve">              T07 Validation</w:t>
        <w:br/>
        <w:t xml:space="preserve">                     |</w:t>
        <w:br/>
        <w:t xml:space="preserve">                     v</w:t>
        <w:br/>
        <w:t xml:space="preserve">              T08 Diagnostic Agent</w:t>
        <w:br/>
        <w:t xml:space="preserve">                     |</w:t>
        <w:br/>
        <w:t xml:space="preserve">              T09 Diagnostic Gate</w:t>
        <w:br/>
        <w:t xml:space="preserve">                     |</w:t>
        <w:br/>
        <w:t xml:space="preserve">              T10 Diagnostic E2E</w:t>
        <w:br/>
        <w:t xml:space="preserve">                     |</w:t>
        <w:br/>
        <w:t xml:space="preserve">                     v</w:t>
        <w:br/>
        <w:t xml:space="preserve">              T11 Evaluation Agent</w:t>
        <w:br/>
        <w:t xml:space="preserve">                     |</w:t>
        <w:br/>
        <w:t xml:space="preserve">              T12 Evaluation Gate</w:t>
        <w:br/>
        <w:t xml:space="preserve">                     |</w:t>
        <w:br/>
        <w:t xml:space="preserve">              T13 Learner Feedback</w:t>
        <w:br/>
        <w:t xml:space="preserve">                     |</w:t>
        <w:br/>
        <w:t xml:space="preserve">                     v</w:t>
        <w:br/>
        <w:t xml:space="preserve">              T14 Orchestration</w:t>
        <w:br/>
        <w:t xml:space="preserve">                     |</w:t>
        <w:br/>
        <w:t xml:space="preserve">              T15 Qualification tests</w:t>
        <w:br/>
        <w:t xml:space="preserve">                     |</w:t>
        <w:br/>
        <w:t xml:space="preserve">              T16 Release closure</w:t>
      </w:r>
    </w:p>
    <w:p>
      <w:pPr>
        <w:pStyle w:val="Heading1"/>
      </w:pPr>
      <w:r>
        <w:t>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b/>
                <w:sz w:val="17"/>
              </w:rPr>
              <w:t>Required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Domain rules, serializers, validators, retry calculations, idempotency, routing metadata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Java/Python JSON schema compatibility and version compatibility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Postgres outbox, dispatcher leases, Flyway, proposal gates, AI-plane API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Learner evidence -&gt; durable work -&gt; AI proposal -&gt; gate -&gt; learner-visible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Perturbation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Controlled mastery/evidence/routing/provider/latency changes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Failure injection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Crash after commit, crash during dispatch, provider timeout, malformed output, duplicate delivery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OIDC/RBAC, cross-learner isolation, prompt injection, secret leakage, data minimization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Outbox backlog, dispatch latency, retrieval latency, agent concurrency, DB contention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Governance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Candidate identity, evidence parser, manifest/digest, debt/release-board consistency</w:t>
            </w:r>
          </w:p>
        </w:tc>
      </w:tr>
    </w:tbl>
    <w:p/>
    <w:p>
      <w:pPr>
        <w:pStyle w:val="Heading1"/>
      </w:pPr>
      <w:r>
        <w:t>10. Observability and audit requirements</w:t>
      </w:r>
    </w:p>
    <w:p>
      <w:pPr>
        <w:pStyle w:val="ListBullet"/>
        <w:spacing w:after="20"/>
      </w:pPr>
      <w:r>
        <w:t>Every asynchronous unit of work carries interactionId, traceId, requestId and agentRunId.</w:t>
      </w:r>
    </w:p>
    <w:p>
      <w:pPr>
        <w:pStyle w:val="ListBullet"/>
        <w:spacing w:after="20"/>
      </w:pPr>
      <w:r>
        <w:t>decision_record, outbox work and ai_execution must be joinable through stable identifiers.</w:t>
      </w:r>
    </w:p>
    <w:p>
      <w:pPr>
        <w:pStyle w:val="ListBullet"/>
        <w:spacing w:after="20"/>
      </w:pPr>
      <w:r>
        <w:t>Persist resolved provider/model/route version; logs are supplementary, not the provenance source of truth.</w:t>
      </w:r>
    </w:p>
    <w:p>
      <w:pPr>
        <w:pStyle w:val="ListBullet"/>
        <w:spacing w:after="20"/>
      </w:pPr>
      <w:r>
        <w:t>Metrics: outbox pending/oldest age, dispatch attempts, retry count, terminal failures, AI latency, gate acceptance/rejection, grounding failures, token/cost usage.</w:t>
      </w:r>
    </w:p>
    <w:p>
      <w:pPr>
        <w:pStyle w:val="ListBullet"/>
        <w:spacing w:after="20"/>
      </w:pPr>
      <w:r>
        <w:t>Tracing must cross Spring -&gt; dispatcher -&gt; AI plane -&gt; model/tool nodes -&gt; proposal gate where technically possible.</w:t>
      </w:r>
    </w:p>
    <w:p>
      <w:pPr>
        <w:pStyle w:val="ListBullet"/>
        <w:spacing w:after="20"/>
      </w:pPr>
      <w:r>
        <w:t>Operational dashboards must distinguish transport failure, model failure, validation failure and legitimate business rejection.</w:t>
      </w:r>
    </w:p>
    <w:p>
      <w:pPr>
        <w:pStyle w:val="Heading1"/>
      </w:pPr>
      <w:r>
        <w:t>11. Security requirements</w:t>
      </w:r>
    </w:p>
    <w:p>
      <w:pPr>
        <w:pStyle w:val="ListBullet"/>
        <w:spacing w:after="20"/>
      </w:pPr>
      <w:r>
        <w:t>Provider keys only through secret/environment injection; never persisted in database or evidence.</w:t>
      </w:r>
    </w:p>
    <w:p>
      <w:pPr>
        <w:pStyle w:val="ListBullet"/>
        <w:spacing w:after="20"/>
      </w:pPr>
      <w:r>
        <w:t>Least-privilege service identity between backend and AI plane.</w:t>
      </w:r>
    </w:p>
    <w:p>
      <w:pPr>
        <w:pStyle w:val="ListBullet"/>
        <w:spacing w:after="20"/>
      </w:pPr>
      <w:r>
        <w:t>Grounded context must enforce learner/tenant authorization before retrieval.</w:t>
      </w:r>
    </w:p>
    <w:p>
      <w:pPr>
        <w:pStyle w:val="ListBullet"/>
        <w:spacing w:after="20"/>
      </w:pPr>
      <w:r>
        <w:t>Treat retrieved content and learner free text as untrusted prompt input.</w:t>
      </w:r>
    </w:p>
    <w:p>
      <w:pPr>
        <w:pStyle w:val="ListBullet"/>
        <w:spacing w:after="20"/>
      </w:pPr>
      <w:r>
        <w:t>Proposal gates must fail closed on unknown schema versions or unsupported evidence.</w:t>
      </w:r>
    </w:p>
    <w:p>
      <w:pPr>
        <w:pStyle w:val="ListBullet"/>
        <w:spacing w:after="20"/>
      </w:pPr>
      <w:r>
        <w:t>No raw hidden model reasoning is required or stored; retain structured outputs and auditable reasons instead.</w:t>
      </w:r>
    </w:p>
    <w:p>
      <w:pPr>
        <w:pStyle w:val="ListBullet"/>
        <w:spacing w:after="20"/>
      </w:pPr>
      <w:r>
        <w:t>Maintain dependency/SBOM/vulnerability gates and human review for AI-authored changes.</w:t>
      </w:r>
    </w:p>
    <w:p>
      <w:pPr>
        <w:pStyle w:val="Heading1"/>
      </w:pPr>
      <w:r>
        <w:t>12. Database and migration principles</w:t>
      </w:r>
    </w:p>
    <w:p>
      <w:pPr>
        <w:pStyle w:val="ListBullet"/>
        <w:spacing w:after="20"/>
      </w:pPr>
      <w:r>
        <w:t>Use additive migrations first; preserve MVP-1 historical rows.</w:t>
      </w:r>
    </w:p>
    <w:p>
      <w:pPr>
        <w:pStyle w:val="ListBullet"/>
        <w:spacing w:after="20"/>
      </w:pPr>
      <w:r>
        <w:t>Prefer immutable execution/event records and append-only audit semantics.</w:t>
      </w:r>
    </w:p>
    <w:p>
      <w:pPr>
        <w:pStyle w:val="ListBullet"/>
        <w:spacing w:after="20"/>
      </w:pPr>
      <w:r>
        <w:t>Outbox state transitions may be mutable operational state, but business decisions remain historically reconstructable.</w:t>
      </w:r>
    </w:p>
    <w:p>
      <w:pPr>
        <w:pStyle w:val="ListBullet"/>
        <w:spacing w:after="20"/>
      </w:pPr>
      <w:r>
        <w:t>All new uniqueness constraints must support idempotency and replay.</w:t>
      </w:r>
    </w:p>
    <w:p>
      <w:pPr>
        <w:pStyle w:val="ListBullet"/>
        <w:spacing w:after="20"/>
      </w:pPr>
      <w:r>
        <w:t>Migration rollback strategy must distinguish schema rollback from application rollback when data has already been written.</w:t>
      </w:r>
    </w:p>
    <w:p>
      <w:pPr>
        <w:pStyle w:val="Heading1"/>
      </w:pPr>
      <w:r>
        <w:t>13. Release branch / PR discipline</w:t>
      </w:r>
    </w:p>
    <w:p>
      <w:pPr>
        <w:pStyle w:val="ListBullet"/>
        <w:spacing w:after="20"/>
      </w:pPr>
      <w:r>
        <w:t>One task or tightly coupled task slice per PR; avoid broad cross-cutting mega-PRs.</w:t>
      </w:r>
    </w:p>
    <w:p>
      <w:pPr>
        <w:pStyle w:val="ListBullet"/>
        <w:spacing w:after="20"/>
      </w:pPr>
      <w:r>
        <w:t>Every PR states task ID, architecture contract affected, migrations, tests, rollback and evidence.</w:t>
      </w:r>
    </w:p>
    <w:p>
      <w:pPr>
        <w:pStyle w:val="ListBullet"/>
        <w:spacing w:after="20"/>
      </w:pPr>
      <w:r>
        <w:t>No task may silently broaden MVP-2 scope.</w:t>
      </w:r>
    </w:p>
    <w:p>
      <w:pPr>
        <w:pStyle w:val="ListBullet"/>
        <w:spacing w:after="20"/>
      </w:pPr>
      <w:r>
        <w:t>T02-T04 are release-foundation work and must be merged before T08 begins.</w:t>
      </w:r>
    </w:p>
    <w:p>
      <w:pPr>
        <w:pStyle w:val="ListBullet"/>
        <w:spacing w:after="20"/>
      </w:pPr>
      <w:r>
        <w:t>Use immutable image digests for qualification and record exact candidate identity.</w:t>
      </w:r>
    </w:p>
    <w:p>
      <w:pPr>
        <w:pStyle w:val="Heading1"/>
      </w:pPr>
      <w:r>
        <w:t>14. Definition of Done for MVP-2</w:t>
      </w:r>
    </w:p>
    <w:p>
      <w:r>
        <w:t>MVP-2 is done only when the following end-to-end behavior is proven on an immutable release candidate:</w:t>
      </w:r>
    </w:p>
    <w:p>
      <w:pPr>
        <w:pStyle w:val="CodeBlock"/>
      </w:pPr>
      <w:r>
        <w:t>Learner assessment</w:t>
        <w:br/>
        <w:t xml:space="preserve">      |</w:t>
        <w:br/>
        <w:t xml:space="preserve">      v</w:t>
        <w:br/>
        <w:t>durable outbox event</w:t>
        <w:br/>
        <w:t xml:space="preserve">      |</w:t>
        <w:br/>
        <w:t xml:space="preserve">      v</w:t>
        <w:br/>
        <w:t>AI evaluation (when applicable)</w:t>
        <w:br/>
        <w:t xml:space="preserve">      |</w:t>
        <w:br/>
        <w:t xml:space="preserve">      v</w:t>
        <w:br/>
        <w:t>grounded structured proposal</w:t>
        <w:br/>
        <w:t xml:space="preserve">      |</w:t>
        <w:br/>
        <w:t xml:space="preserve">      v</w:t>
        <w:br/>
        <w:t>deterministic evaluation gate</w:t>
        <w:br/>
        <w:t xml:space="preserve">      |</w:t>
        <w:br/>
        <w:t xml:space="preserve">      v</w:t>
        <w:br/>
        <w:t>authoritative evidence/mastery update</w:t>
        <w:br/>
        <w:t xml:space="preserve">      |</w:t>
        <w:br/>
        <w:t xml:space="preserve">      v</w:t>
        <w:br/>
        <w:t>durable diagnostic work</w:t>
        <w:br/>
        <w:t xml:space="preserve">      |</w:t>
        <w:br/>
        <w:t xml:space="preserve">      v</w:t>
        <w:br/>
        <w:t>Diagnostic Agent + grounding</w:t>
        <w:br/>
        <w:t xml:space="preserve">      |</w:t>
        <w:br/>
        <w:t xml:space="preserve">      v</w:t>
        <w:br/>
        <w:t>DiagnosticProposalGate</w:t>
        <w:br/>
        <w:t xml:space="preserve">      |</w:t>
        <w:br/>
        <w:t xml:space="preserve">      v</w:t>
        <w:br/>
        <w:t>durable adaptation work</w:t>
        <w:br/>
        <w:t xml:space="preserve">      |</w:t>
        <w:br/>
        <w:t xml:space="preserve">      v</w:t>
        <w:br/>
        <w:t>Adaptation Agent</w:t>
        <w:br/>
        <w:t xml:space="preserve">      |</w:t>
        <w:br/>
        <w:t xml:space="preserve">      v</w:t>
        <w:br/>
        <w:t>AdaptationProposalGate</w:t>
        <w:br/>
        <w:t xml:space="preserve">      |</w:t>
        <w:br/>
        <w:t xml:space="preserve">      v</w:t>
        <w:br/>
        <w:t>approved next-learning recommendation</w:t>
      </w:r>
    </w:p>
    <w:p>
      <w:r>
        <w:t>For every AI-assisted step, the audit trail must reconstruct at minimum:</w:t>
      </w:r>
    </w:p>
    <w:p>
      <w:pPr>
        <w:pStyle w:val="CodeBlock"/>
      </w:pPr>
      <w:r>
        <w:t>interactionId</w:t>
        <w:br/>
        <w:t>traceId</w:t>
        <w:br/>
        <w:t>agentRunId</w:t>
        <w:br/>
        <w:t>requestId</w:t>
        <w:br/>
        <w:t>provider</w:t>
        <w:br/>
        <w:t>modelId</w:t>
        <w:br/>
        <w:t>modelRoute</w:t>
        <w:br/>
        <w:t>routeVersion</w:t>
        <w:br/>
        <w:t>promptTemplateId</w:t>
        <w:br/>
        <w:t>promptVersion</w:t>
        <w:br/>
        <w:t>grounding/evidence IDs</w:t>
        <w:br/>
        <w:t>input/output hashes</w:t>
        <w:br/>
        <w:t>decisionRecordId</w:t>
        <w:br/>
        <w:t>status/timestamps</w:t>
      </w:r>
    </w:p>
    <w:p>
      <w:pPr>
        <w:pStyle w:val="Heading1"/>
      </w:pPr>
      <w:r>
        <w:t>15. MVP-2 entry checklist</w:t>
      </w:r>
    </w:p>
    <w:p>
      <w:pPr>
        <w:pStyle w:val="ListBullet"/>
        <w:spacing w:after="20"/>
      </w:pPr>
      <w:r>
        <w:t>MVP-1 main baseline remains closed and clean.</w:t>
      </w:r>
    </w:p>
    <w:p>
      <w:pPr>
        <w:pStyle w:val="ListBullet"/>
        <w:spacing w:after="20"/>
      </w:pPr>
      <w:r>
        <w:t>MVP-2 architecture/scope review approved.</w:t>
      </w:r>
    </w:p>
    <w:p>
      <w:pPr>
        <w:pStyle w:val="ListBullet"/>
        <w:spacing w:after="20"/>
      </w:pPr>
      <w:r>
        <w:t>Seven-question integration-contract analysis reviewed under T01.</w:t>
      </w:r>
    </w:p>
    <w:p>
      <w:pPr>
        <w:pStyle w:val="ListBullet"/>
        <w:spacing w:after="20"/>
      </w:pPr>
      <w:r>
        <w:t>T01 ADR/contract work starts before functional implementation.</w:t>
      </w:r>
    </w:p>
    <w:p>
      <w:pPr>
        <w:pStyle w:val="ListBullet"/>
        <w:spacing w:after="20"/>
      </w:pPr>
      <w:r>
        <w:t>No Diagnostic Agent coding before T02-T04 acceptance.</w:t>
      </w:r>
    </w:p>
    <w:p>
      <w:pPr>
        <w:pStyle w:val="ListBullet"/>
        <w:spacing w:after="20"/>
      </w:pPr>
      <w:r>
        <w:t>No MVP-1 historical evidence is rewritten to fit MVP-2 architecture.</w:t>
      </w:r>
    </w:p>
    <w:p>
      <w:pPr>
        <w:pStyle w:val="Heading1"/>
      </w:pPr>
      <w:r>
        <w:t>16. Recommended execution order</w:t>
      </w:r>
    </w:p>
    <w:p>
      <w:r>
        <w:t>Reliability foundation -&gt; Provenance -&gt; Grounding -&gt; Diagnostic Agent -&gt; Assessment Evaluation -&gt; Learner Experience -&gt; Controlled Orchestration -&gt; Qualification.</w:t>
      </w:r>
    </w:p>
    <w:p>
      <w:r>
        <w:rPr>
          <w:b/>
        </w:rPr>
        <w:t xml:space="preserve">Implementation start recommendation: </w:t>
      </w:r>
      <w:r>
        <w:t>Begin with M2-T01 only. Freeze the ADRs/contracts, review them, then authorize T02.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RAMALS MVP-2 Implementation Master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