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Contract B: Durable Recoverable AI Execution</w:t>
      </w:r>
    </w:p>
    <w:p>
      <w:pPr>
        <w:jc w:val="center"/>
      </w:pPr>
      <w:r>
        <w:rPr>
          <w:i/>
          <w:sz w:val="26"/>
        </w:rPr>
        <w:t>Detailed future implementation design for replay-safe external AI execution</w:t>
      </w:r>
    </w:p>
    <w:p>
      <w:pPr>
        <w:jc w:val="center"/>
      </w:pPr>
      <w:r>
        <w:rPr>
          <w:b/>
        </w:rPr>
        <w:t>RAMALS - Reliable Adaptive Multi-Agent Learning System</w:t>
      </w:r>
    </w:p>
    <w:p>
      <w:pPr>
        <w:jc w:val="center"/>
      </w:pPr>
      <w:r>
        <w:t>Implementation Design and Qualification Plan | Version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Contract B is the stronger future reliability architecture in which an AI execution remains recoverable across worker/process death, transport interruption, provider execution, and local persistence failure. The key requirement is a durable execution identity that survives beyond a synchronous HTTP request and supports replay-safe submission plus later status/result reconciliation.</w:t>
      </w:r>
    </w:p>
    <w:p>
      <w:r>
        <w:t>This design is intentionally beyond MVP-2 unless a selected provider or intermediary exposes documented idempotent submission and result-retrieval semantics. It is not achieved merely by adding an Idempotency-Key header; the complete chain must provide a durable execution handle and a retrievable terminal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Contract B target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guarantee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recoverable AI execution with replay-safe admission and reconciliation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Worker crash after provider call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Replacement discovers same execution and retrieves/reconciles result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execution identity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 and persisted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 lookup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provider execution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Prevented/controlled by documented idempotency semantics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milestone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Post-MVP-2 / future production capability</w:t>
            </w:r>
          </w:p>
        </w:tc>
      </w:tr>
    </w:tbl>
    <w:p/>
    <w:p>
      <w:pPr>
        <w:pStyle w:val="Heading1"/>
      </w:pPr>
      <w:r>
        <w:t>2. Preconditions / Provider Capability Gate</w:t>
      </w:r>
    </w:p>
    <w:p>
      <w:r>
        <w:t>Do not implement Contract B against a provider path that lacks the primitives below. The provider capability review is a hard architecture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Capability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contract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Replay-safe admission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 client idempotency key + same request returns the same provider execution; different payload conflicts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Execution identifier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provider execution ID returned or discoverable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 lookup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GET/poll or callback giving authoritative execution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 retrieval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Terminal output can be retrieved after original caller/process is gone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Retention SLA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Result/metadata retained long enough for RAMALS recovery window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Cancellation (preferred)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 cancellation for obsolete requests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Webhook authenticity (if used)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Signed callbacks with replay protection</w:t>
            </w:r>
          </w:p>
        </w:tc>
      </w:tr>
    </w:tbl>
    <w:p/>
    <w:p>
      <w:pPr>
        <w:pStyle w:val="Heading1"/>
      </w:pPr>
      <w:r>
        <w:t>3. Target Architecture</w:t>
      </w:r>
    </w:p>
    <w:p>
      <w:pPr>
        <w:pStyle w:val="CodeBlock"/>
      </w:pPr>
      <w:r>
        <w:rPr>
          <w:rFonts w:ascii="Consolas" w:hAnsi="Consolas"/>
          <w:sz w:val="17"/>
        </w:rPr>
        <w:t>Learning Platform</w:t>
        <w:br/>
      </w:r>
      <w:r>
        <w:rPr>
          <w:rFonts w:ascii="Consolas" w:hAnsi="Consolas"/>
          <w:sz w:val="17"/>
        </w:rPr>
        <w:t xml:space="preserve">      |</w:t>
        <w:br/>
      </w:r>
      <w:r>
        <w:rPr>
          <w:rFonts w:ascii="Consolas" w:hAnsi="Consolas"/>
          <w:sz w:val="17"/>
        </w:rPr>
        <w:t xml:space="preserve">      | PUT execution/{requestId}</w:t>
        <w:br/>
      </w:r>
      <w:r>
        <w:rPr>
          <w:rFonts w:ascii="Consolas" w:hAnsi="Consolas"/>
          <w:sz w:val="17"/>
        </w:rPr>
        <w:t xml:space="preserve">      v</w:t>
        <w:br/>
      </w:r>
      <w:r>
        <w:rPr>
          <w:rFonts w:ascii="Consolas" w:hAnsi="Consolas"/>
          <w:sz w:val="17"/>
        </w:rPr>
        <w:t>RAMALS-AI Durable Execution Service</w:t>
        <w:br/>
      </w:r>
      <w:r>
        <w:rPr>
          <w:rFonts w:ascii="Consolas" w:hAnsi="Consolas"/>
          <w:sz w:val="17"/>
        </w:rPr>
        <w:t xml:space="preserve">      |</w:t>
        <w:br/>
      </w:r>
      <w:r>
        <w:rPr>
          <w:rFonts w:ascii="Consolas" w:hAnsi="Consolas"/>
          <w:sz w:val="17"/>
        </w:rPr>
        <w:t xml:space="preserve">      +-- PostgreSQL execution ledger</w:t>
        <w:br/>
      </w:r>
      <w:r>
        <w:rPr>
          <w:rFonts w:ascii="Consolas" w:hAnsi="Consolas"/>
          <w:sz w:val="17"/>
        </w:rPr>
        <w:t xml:space="preserve">      +-- admission/idempotency CAS</w:t>
        <w:br/>
      </w:r>
      <w:r>
        <w:rPr>
          <w:rFonts w:ascii="Consolas" w:hAnsi="Consolas"/>
          <w:sz w:val="17"/>
        </w:rPr>
        <w:t xml:space="preserve">      +-- submit worker</w:t>
        <w:br/>
      </w:r>
      <w:r>
        <w:rPr>
          <w:rFonts w:ascii="Consolas" w:hAnsi="Consolas"/>
          <w:sz w:val="17"/>
        </w:rPr>
        <w:t xml:space="preserve">      +-- reconciliation worker</w:t>
        <w:br/>
      </w:r>
      <w:r>
        <w:rPr>
          <w:rFonts w:ascii="Consolas" w:hAnsi="Consolas"/>
          <w:sz w:val="17"/>
        </w:rPr>
        <w:t xml:space="preserve">      +-- durable provider execution ID</w:t>
        <w:br/>
      </w:r>
      <w:r>
        <w:rPr>
          <w:rFonts w:ascii="Consolas" w:hAnsi="Consolas"/>
          <w:sz w:val="17"/>
        </w:rPr>
        <w:t xml:space="preserve">      +-- durable response/result digest</w:t>
        <w:br/>
      </w:r>
      <w:r>
        <w:rPr>
          <w:rFonts w:ascii="Consolas" w:hAnsi="Consolas"/>
          <w:sz w:val="17"/>
        </w:rPr>
        <w:t xml:space="preserve">      |</w:t>
        <w:br/>
      </w:r>
      <w:r>
        <w:rPr>
          <w:rFonts w:ascii="Consolas" w:hAnsi="Consolas"/>
          <w:sz w:val="17"/>
        </w:rPr>
        <w:t xml:space="preserve">      v</w:t>
        <w:br/>
      </w:r>
      <w:r>
        <w:rPr>
          <w:rFonts w:ascii="Consolas" w:hAnsi="Consolas"/>
          <w:sz w:val="17"/>
        </w:rPr>
        <w:t>Provider with replay-safe submit + lookup</w:t>
        <w:br/>
      </w:r>
      <w:r>
        <w:rPr>
          <w:rFonts w:ascii="Consolas" w:hAnsi="Consolas"/>
          <w:sz w:val="17"/>
        </w:rPr>
        <w:t xml:space="preserve">      |</w:t>
        <w:br/>
      </w:r>
      <w:r>
        <w:rPr>
          <w:rFonts w:ascii="Consolas" w:hAnsi="Consolas"/>
          <w:sz w:val="17"/>
        </w:rPr>
        <w:t xml:space="preserve">      +-- async status / callback / result retrieval</w:t>
        <w:br/>
      </w:r>
    </w:p>
    <w:p>
      <w:r>
        <w:t>The Java learning workflow should no longer depend on a single synchronous provider response. It admits an execution, observes/reconciles its durable state, and adopts the terminal result when available.</w:t>
      </w:r>
    </w:p>
    <w:p>
      <w:pPr>
        <w:pStyle w:val="Heading1"/>
      </w:pPr>
      <w:r>
        <w:t>4. State Machine</w:t>
      </w:r>
    </w:p>
    <w:p>
      <w:pPr>
        <w:pStyle w:val="CodeBlock"/>
      </w:pPr>
      <w:r>
        <w:rPr>
          <w:rFonts w:ascii="Consolas" w:hAnsi="Consolas"/>
          <w:sz w:val="17"/>
        </w:rPr>
        <w:t>ADMITTED</w:t>
        <w:br/>
      </w:r>
      <w:r>
        <w:rPr>
          <w:rFonts w:ascii="Consolas" w:hAnsi="Consolas"/>
          <w:sz w:val="17"/>
        </w:rPr>
        <w:t xml:space="preserve">   | submit owner CAS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SUBMITTING</w:t>
        <w:br/>
      </w:r>
      <w:r>
        <w:rPr>
          <w:rFonts w:ascii="Consolas" w:hAnsi="Consolas"/>
          <w:sz w:val="17"/>
        </w:rPr>
        <w:t xml:space="preserve">   | provider acknowledges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ACCEPTED(providerExecutionId)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RUNNING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RESULT_AVAILABLE --&gt; SUCCEEDED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FAILED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CANCELLED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RECONCILING  (ambiguous transport / lost acknowledgement)</w:t>
        <w:br/>
      </w:r>
      <w:r>
        <w:rPr>
          <w:rFonts w:ascii="Consolas" w:hAnsi="Consolas"/>
          <w:sz w:val="17"/>
        </w:rPr>
        <w:t xml:space="preserve">             |</w:t>
        <w:br/>
      </w:r>
      <w:r>
        <w:rPr>
          <w:rFonts w:ascii="Consolas" w:hAnsi="Consolas"/>
          <w:sz w:val="17"/>
        </w:rPr>
        <w:t xml:space="preserve">             +--&gt; ACCEPTED/RUNNING/RESULT_AVAILABLE/FAILED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 second logical execution may be created for the same requestId+requestDigest.</w:t>
        <w:br/>
      </w:r>
    </w:p>
    <w:p>
      <w:pPr>
        <w:pStyle w:val="Heading1"/>
      </w:pPr>
      <w:r>
        <w:t>5. Durable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Table / object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Key fields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ai_execution_request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request_id PK, request_digest, context_id, interaction_id, trace_id, admitted_at, policy_version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logical execution identity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ai_provider_execution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request_id FK unique, provider, model, idempotency_key, provider_execution_id, state, submit_fence, accepted_at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External execution handle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ai_execution_result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request_id FK unique, provider_execution_id, result_digest, structured_result, usage, completed_at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retrievable terminal result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ai_execution_transition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append-only transition ledger with actor/fence/reason/timestamps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Forensic replay and research evidence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ai_reconciliation_work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request_id, next_attempt_at, attempt_count, lease_owner/token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polling/reconciliation scheduling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proposal_gate_decision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authoritative decision keyed to request identity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Outcome adoption</w:t>
            </w:r>
          </w:p>
        </w:tc>
      </w:tr>
    </w:tbl>
    <w:p/>
    <w:p>
      <w:r>
        <w:t>Prefer append-only transition evidence plus a current-state row for efficient lookup. State transitions must be guarded by compare-and-set and monotonic fences. Provider execution IDs are immutable once known.</w:t>
      </w:r>
    </w:p>
    <w:p>
      <w:pPr>
        <w:pStyle w:val="Heading1"/>
      </w:pPr>
      <w:r>
        <w:t>6. API Design</w:t>
      </w:r>
    </w:p>
    <w:p>
      <w:pPr>
        <w:pStyle w:val="Heading2"/>
      </w:pPr>
      <w:r>
        <w:t>6.1 Idempotent admission</w:t>
      </w:r>
    </w:p>
    <w:p>
      <w:pPr>
        <w:pStyle w:val="CodeBlock"/>
      </w:pPr>
      <w:r>
        <w:rPr>
          <w:rFonts w:ascii="Consolas" w:hAnsi="Consolas"/>
          <w:sz w:val="17"/>
        </w:rPr>
        <w:t>PUT /internal/v2/diagnostic-executions/{requestId}</w:t>
        <w:br/>
      </w:r>
      <w:r>
        <w:rPr>
          <w:rFonts w:ascii="Consolas" w:hAnsi="Consolas"/>
          <w:sz w:val="17"/>
        </w:rPr>
        <w:t>Request:</w:t>
        <w:br/>
      </w:r>
      <w:r>
        <w:rPr>
          <w:rFonts w:ascii="Consolas" w:hAnsi="Consolas"/>
          <w:sz w:val="17"/>
        </w:rPr>
        <w:t xml:space="preserve">  requestDigest</w:t>
        <w:br/>
      </w:r>
      <w:r>
        <w:rPr>
          <w:rFonts w:ascii="Consolas" w:hAnsi="Consolas"/>
          <w:sz w:val="17"/>
        </w:rPr>
        <w:t xml:space="preserve">  contextId</w:t>
        <w:br/>
      </w:r>
      <w:r>
        <w:rPr>
          <w:rFonts w:ascii="Consolas" w:hAnsi="Consolas"/>
          <w:sz w:val="17"/>
        </w:rPr>
        <w:t xml:space="preserve">  contextAsOf</w:t>
        <w:br/>
      </w:r>
      <w:r>
        <w:rPr>
          <w:rFonts w:ascii="Consolas" w:hAnsi="Consolas"/>
          <w:sz w:val="17"/>
        </w:rPr>
        <w:t xml:space="preserve">  interactionId</w:t>
        <w:br/>
      </w:r>
      <w:r>
        <w:rPr>
          <w:rFonts w:ascii="Consolas" w:hAnsi="Consolas"/>
          <w:sz w:val="17"/>
        </w:rPr>
        <w:t xml:space="preserve">  traceId</w:t>
        <w:br/>
      </w:r>
      <w:r>
        <w:rPr>
          <w:rFonts w:ascii="Consolas" w:hAnsi="Consolas"/>
          <w:sz w:val="17"/>
        </w:rPr>
        <w:t xml:space="preserve">  modelPolicy</w:t>
        <w:br/>
      </w:r>
      <w:r>
        <w:rPr>
          <w:rFonts w:ascii="Consolas" w:hAnsi="Consolas"/>
          <w:sz w:val="17"/>
        </w:rPr>
        <w:t xml:space="preserve">  deadlineClass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Semantics:</w:t>
        <w:br/>
      </w:r>
      <w:r>
        <w:rPr>
          <w:rFonts w:ascii="Consolas" w:hAnsi="Consolas"/>
          <w:sz w:val="17"/>
        </w:rPr>
        <w:t xml:space="preserve">  new requestId                -&gt; 201 ADMITTED</w:t>
        <w:br/>
      </w:r>
      <w:r>
        <w:rPr>
          <w:rFonts w:ascii="Consolas" w:hAnsi="Consolas"/>
          <w:sz w:val="17"/>
        </w:rPr>
        <w:t xml:space="preserve">  same requestId + same digest -&gt; 200 existing execution state</w:t>
        <w:br/>
      </w:r>
      <w:r>
        <w:rPr>
          <w:rFonts w:ascii="Consolas" w:hAnsi="Consolas"/>
          <w:sz w:val="17"/>
        </w:rPr>
        <w:t xml:space="preserve">  same requestId + new digest  -&gt; 409 REQUEST_ID_DIGEST_CONFLICT</w:t>
        <w:br/>
      </w:r>
    </w:p>
    <w:p>
      <w:pPr>
        <w:pStyle w:val="Heading2"/>
      </w:pPr>
      <w:r>
        <w:t>6.2 Status and result reconciliation</w:t>
      </w:r>
    </w:p>
    <w:p>
      <w:pPr>
        <w:pStyle w:val="CodeBlock"/>
      </w:pPr>
      <w:r>
        <w:rPr>
          <w:rFonts w:ascii="Consolas" w:hAnsi="Consolas"/>
          <w:sz w:val="17"/>
        </w:rPr>
        <w:t>GET /internal/v2/diagnostic-executions/{requestId}</w:t>
        <w:br/>
      </w:r>
      <w:r>
        <w:rPr>
          <w:rFonts w:ascii="Consolas" w:hAnsi="Consolas"/>
          <w:sz w:val="17"/>
        </w:rPr>
        <w:t>Response:</w:t>
        <w:br/>
      </w:r>
      <w:r>
        <w:rPr>
          <w:rFonts w:ascii="Consolas" w:hAnsi="Consolas"/>
          <w:sz w:val="17"/>
        </w:rPr>
        <w:t xml:space="preserve">  state</w:t>
        <w:br/>
      </w:r>
      <w:r>
        <w:rPr>
          <w:rFonts w:ascii="Consolas" w:hAnsi="Consolas"/>
          <w:sz w:val="17"/>
        </w:rPr>
        <w:t xml:space="preserve">  providerExecutionId?</w:t>
        <w:br/>
      </w:r>
      <w:r>
        <w:rPr>
          <w:rFonts w:ascii="Consolas" w:hAnsi="Consolas"/>
          <w:sz w:val="17"/>
        </w:rPr>
        <w:t xml:space="preserve">  provider/model</w:t>
        <w:br/>
      </w:r>
      <w:r>
        <w:rPr>
          <w:rFonts w:ascii="Consolas" w:hAnsi="Consolas"/>
          <w:sz w:val="17"/>
        </w:rPr>
        <w:t xml:space="preserve">  result?</w:t>
        <w:br/>
      </w:r>
      <w:r>
        <w:rPr>
          <w:rFonts w:ascii="Consolas" w:hAnsi="Consolas"/>
          <w:sz w:val="17"/>
        </w:rPr>
        <w:t xml:space="preserve">  resultDigest?</w:t>
        <w:br/>
      </w:r>
      <w:r>
        <w:rPr>
          <w:rFonts w:ascii="Consolas" w:hAnsi="Consolas"/>
          <w:sz w:val="17"/>
        </w:rPr>
        <w:t xml:space="preserve">  usage?</w:t>
        <w:br/>
      </w:r>
      <w:r>
        <w:rPr>
          <w:rFonts w:ascii="Consolas" w:hAnsi="Consolas"/>
          <w:sz w:val="17"/>
        </w:rPr>
        <w:t xml:space="preserve">  retryAfterMs?</w:t>
        <w:br/>
      </w:r>
      <w:r>
        <w:rPr>
          <w:rFonts w:ascii="Consolas" w:hAnsi="Consolas"/>
          <w:sz w:val="17"/>
        </w:rPr>
        <w:t xml:space="preserve">  terminalReason?</w:t>
        <w:br/>
      </w:r>
    </w:p>
    <w:p>
      <w:pPr>
        <w:pStyle w:val="Heading2"/>
      </w:pPr>
      <w:r>
        <w:t>6.3 Optional callbacks</w:t>
      </w:r>
    </w:p>
    <w:p>
      <w:r>
        <w:t>If the provider supports webhooks, callbacks are supplemental acceleration, not the sole source of truth. Every callback must be authenticated, idempotent, replay-safe, and reconciled against provider status.</w:t>
      </w:r>
    </w:p>
    <w:p>
      <w:pPr>
        <w:pStyle w:val="Heading1"/>
      </w:pPr>
      <w:r>
        <w:t>7. Submission and Idempotency Algorithm</w:t>
      </w:r>
    </w:p>
    <w:p>
      <w:pPr>
        <w:pStyle w:val="ListNumber"/>
      </w:pPr>
      <w:r>
        <w:t>Learning Platform derives deterministic requestId and immutable requestDigest.</w:t>
      </w:r>
    </w:p>
    <w:p>
      <w:pPr>
        <w:pStyle w:val="ListNumber"/>
      </w:pPr>
      <w:r>
        <w:t>RAMALS-AI transactionally admits requestId if absent; same digest reuses the row, different digest conflicts.</w:t>
      </w:r>
    </w:p>
    <w:p>
      <w:pPr>
        <w:pStyle w:val="ListNumber"/>
      </w:pPr>
      <w:r>
        <w:t>Submit worker acquires a fenced SUBMITTING lease.</w:t>
      </w:r>
    </w:p>
    <w:p>
      <w:pPr>
        <w:pStyle w:val="ListNumber"/>
      </w:pPr>
      <w:r>
        <w:t>Worker calls provider using documented idempotency key derived from requestId (or provider-specific equivalent).</w:t>
      </w:r>
    </w:p>
    <w:p>
      <w:pPr>
        <w:pStyle w:val="ListNumber"/>
      </w:pPr>
      <w:r>
        <w:t>Provider acknowledgement/execution ID is persisted before the worker considers submission complete.</w:t>
      </w:r>
    </w:p>
    <w:p>
      <w:pPr>
        <w:pStyle w:val="ListNumber"/>
      </w:pPr>
      <w:r>
        <w:t>If acknowledgement is lost, worker enters RECONCILING rather than creating a new logical execution.</w:t>
      </w:r>
    </w:p>
    <w:p>
      <w:pPr>
        <w:pStyle w:val="ListNumber"/>
      </w:pPr>
      <w:r>
        <w:t>Reconciliation queries provider by idempotency key or execution ID and persists the same execution.</w:t>
      </w:r>
    </w:p>
    <w:p>
      <w:pPr>
        <w:pStyle w:val="ListNumber"/>
      </w:pPr>
      <w:r>
        <w:t>Terminal provider result is stored durably before notifying/adopting in learning-platform.</w:t>
      </w:r>
    </w:p>
    <w:p>
      <w:pPr>
        <w:pStyle w:val="Heading1"/>
      </w:pPr>
      <w:r>
        <w:t>8. Crash Recovery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Crash window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Recovery action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Before ADMITTED commit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 to retry admission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ADMITTED, before submit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Another submit worker acquires lease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During submission before provider acknowledgement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RECONCILING; replay same provider idempotency key, never create a new logical execution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provider acknowledgement before local ID persist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Lookup/replay by idempotency key; recover same provider execution ID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RUNNING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Poll same execution ID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completed, RAMALS-AI dies before storing result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Retrieve result by execution ID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 stored, learning-platform dies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Replacement reads durable result and commits/adopts gate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 committed, workflow dies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Token-fenced workflow completion replay</w:t>
            </w:r>
          </w:p>
        </w:tc>
      </w:tr>
    </w:tbl>
    <w:p/>
    <w:p>
      <w:pPr>
        <w:pStyle w:val="Heading1"/>
      </w:pPr>
      <w:r>
        <w:t>9. Reconciliation Engine</w:t>
      </w:r>
    </w:p>
    <w:p>
      <w:r>
        <w:t>Reconciliation is a first-class durable worker, not an exception handler inside the request thread.</w:t>
      </w:r>
    </w:p>
    <w:p>
      <w:pPr>
        <w:pStyle w:val="ListBullet"/>
      </w:pPr>
      <w:r>
        <w:t>Lease work items using database token/fence and bounded attempts.</w:t>
      </w:r>
    </w:p>
    <w:p>
      <w:pPr>
        <w:pStyle w:val="ListBullet"/>
      </w:pPr>
      <w:r>
        <w:t>Poll provider status with exponential backoff and jitter within provider limits.</w:t>
      </w:r>
    </w:p>
    <w:p>
      <w:pPr>
        <w:pStyle w:val="ListBullet"/>
      </w:pPr>
      <w:r>
        <w:t>Treat 404/not-found according to documented provider semantics; never assume it means not executed unless contract guarantees that.</w:t>
      </w:r>
    </w:p>
    <w:p>
      <w:pPr>
        <w:pStyle w:val="ListBullet"/>
      </w:pPr>
      <w:r>
        <w:t>Persist every state transition and provider response metadata.</w:t>
      </w:r>
    </w:p>
    <w:p>
      <w:pPr>
        <w:pStyle w:val="ListBullet"/>
      </w:pPr>
      <w:r>
        <w:t>Stop automatically at terminal result or terminal reconciliation policy.</w:t>
      </w:r>
    </w:p>
    <w:p>
      <w:pPr>
        <w:pStyle w:val="ListBullet"/>
      </w:pPr>
      <w:r>
        <w:t>Escalate prolonged UNKNOWN to operator-visible state without creating a new execution.</w:t>
      </w:r>
    </w:p>
    <w:p>
      <w:pPr>
        <w:pStyle w:val="Heading1"/>
      </w:pPr>
      <w:r>
        <w:t>10. Result Persistence and Adoption</w:t>
      </w:r>
    </w:p>
    <w:p>
      <w:r>
        <w:t>Provider output must become durable in RAMALS-AI before learning-platform treats it as available. Store structured result plus a digest, usage/cost metadata, provider identifiers, policy/model route, and provenance. Learning-platform should then fetch/adopt that durable result and commit the existing diagnostic execution/gate transaction exactly once.</w:t>
      </w:r>
    </w:p>
    <w:p>
      <w:pPr>
        <w:pStyle w:val="CodeBlock"/>
      </w:pPr>
      <w:r>
        <w:rPr>
          <w:rFonts w:ascii="Consolas" w:hAnsi="Consolas"/>
          <w:sz w:val="17"/>
        </w:rPr>
        <w:t>Provider terminal result</w:t>
        <w:br/>
      </w:r>
      <w:r>
        <w:rPr>
          <w:rFonts w:ascii="Consolas" w:hAnsi="Consolas"/>
          <w:sz w:val="17"/>
        </w:rPr>
        <w:t xml:space="preserve">    -&gt; RAMALS-AI durable result row</w:t>
        <w:br/>
      </w:r>
      <w:r>
        <w:rPr>
          <w:rFonts w:ascii="Consolas" w:hAnsi="Consolas"/>
          <w:sz w:val="17"/>
        </w:rPr>
        <w:t xml:space="preserve">    -&gt; GET returns RESULT_AVAILABLE/SUCCEEDED</w:t>
        <w:br/>
      </w:r>
      <w:r>
        <w:rPr>
          <w:rFonts w:ascii="Consolas" w:hAnsi="Consolas"/>
          <w:sz w:val="17"/>
        </w:rPr>
        <w:t xml:space="preserve">    -&gt; learning-platform validates request/context identity</w:t>
        <w:br/>
      </w:r>
      <w:r>
        <w:rPr>
          <w:rFonts w:ascii="Consolas" w:hAnsi="Consolas"/>
          <w:sz w:val="17"/>
        </w:rPr>
        <w:t xml:space="preserve">    -&gt; commit ai_execution + terminal event + gate decision</w:t>
        <w:br/>
      </w:r>
      <w:r>
        <w:rPr>
          <w:rFonts w:ascii="Consolas" w:hAnsi="Consolas"/>
          <w:sz w:val="17"/>
        </w:rPr>
        <w:t xml:space="preserve">    -&gt; workflow completion CAS</w:t>
        <w:br/>
      </w:r>
    </w:p>
    <w:p>
      <w:pPr>
        <w:pStyle w:val="Heading1"/>
      </w:pPr>
      <w:r>
        <w:t>11. Security Model</w:t>
      </w:r>
    </w:p>
    <w:p>
      <w:pPr>
        <w:pStyle w:val="ListBullet"/>
      </w:pPr>
      <w:r>
        <w:t>Mutual service authentication between learning-platform and RAMALS-AI.</w:t>
      </w:r>
    </w:p>
    <w:p>
      <w:pPr>
        <w:pStyle w:val="ListBullet"/>
      </w:pPr>
      <w:r>
        <w:t>Provider idempotency key is not a user-controlled field.</w:t>
      </w:r>
    </w:p>
    <w:p>
      <w:pPr>
        <w:pStyle w:val="ListBullet"/>
      </w:pPr>
      <w:r>
        <w:t>Encrypt provider execution/result metadata at rest as required.</w:t>
      </w:r>
    </w:p>
    <w:p>
      <w:pPr>
        <w:pStyle w:val="ListBullet"/>
      </w:pPr>
      <w:r>
        <w:t>Prompt/response retention follows data-classification policy; prefer structured minimal result storage.</w:t>
      </w:r>
    </w:p>
    <w:p>
      <w:pPr>
        <w:pStyle w:val="ListBullet"/>
      </w:pPr>
      <w:r>
        <w:t>Webhook signatures, timestamps and replay windows are mandatory if callbacks are enabled.</w:t>
      </w:r>
    </w:p>
    <w:p>
      <w:pPr>
        <w:pStyle w:val="ListBullet"/>
      </w:pPr>
      <w:r>
        <w:t>Every execution lookup is authorized by service identity and tenant/learner ownership context.</w:t>
      </w:r>
    </w:p>
    <w:p>
      <w:pPr>
        <w:pStyle w:val="ListBullet"/>
      </w:pPr>
      <w:r>
        <w:t>KMS/Secrets Manager or equivalent stores provider credentials; never persist raw keys in execution rows.</w:t>
      </w:r>
    </w:p>
    <w:p>
      <w:pPr>
        <w:pStyle w:val="Heading1"/>
      </w:pPr>
      <w:r>
        <w:t>12. Observability and SLOs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execution_admission_latency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responsiveness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provider_submit_latency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External submission behavior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reconciliation_age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How long executions remain unresolved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reconciliation_attempts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Provider/control-plane health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duplicate_admission_conflicts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Client/request identity defects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provider_execution_reuse_count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Evidence that retries reused same provider execution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result_recovery_count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Value of durable recovery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unknown_execution_count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Operational risk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cost_per_logical_request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 accidental duplicate provider spend</w:t>
            </w:r>
          </w:p>
        </w:tc>
      </w:tr>
    </w:tbl>
    <w:p/>
    <w:p>
      <w:r>
        <w:t>Suggested reliability SLOs should be provider-specific. Interactive request SLA and eventual execution SLA are separate: the HTTP caller may receive PENDING while durable reconciliation continues.</w:t>
      </w:r>
    </w:p>
    <w:p>
      <w:pPr>
        <w:pStyle w:val="Heading1"/>
      </w:pPr>
      <w:r>
        <w:t>13. Performance and Capacity Design</w:t>
      </w:r>
    </w:p>
    <w:p>
      <w:pPr>
        <w:pStyle w:val="ListBullet"/>
      </w:pPr>
      <w:r>
        <w:t>Separate synchronous admission latency from provider execution latency.</w:t>
      </w:r>
    </w:p>
    <w:p>
      <w:pPr>
        <w:pStyle w:val="ListBullet"/>
      </w:pPr>
      <w:r>
        <w:t>Bound reconciliation worker concurrency per provider/model.</w:t>
      </w:r>
    </w:p>
    <w:p>
      <w:pPr>
        <w:pStyle w:val="ListBullet"/>
      </w:pPr>
      <w:r>
        <w:t>Use provider rate-limit headers where documented.</w:t>
      </w:r>
    </w:p>
    <w:p>
      <w:pPr>
        <w:pStyle w:val="ListBullet"/>
      </w:pPr>
      <w:r>
        <w:t>Partition or index current-state and work-queue tables by request/status/time as volume grows.</w:t>
      </w:r>
    </w:p>
    <w:p>
      <w:pPr>
        <w:pStyle w:val="ListBullet"/>
      </w:pPr>
      <w:r>
        <w:t>Keep append-only transition ledger retention/archival policy explicit.</w:t>
      </w:r>
    </w:p>
    <w:p>
      <w:pPr>
        <w:pStyle w:val="ListBullet"/>
      </w:pPr>
      <w:r>
        <w:t>Backpressure new admissions when provider queues exceed policy thresholds.</w:t>
      </w:r>
    </w:p>
    <w:p>
      <w:pPr>
        <w:pStyle w:val="Heading1"/>
      </w:pPr>
      <w:r>
        <w:t>14. Provider Adapter Interface</w:t>
      </w:r>
    </w:p>
    <w:p>
      <w:pPr>
        <w:pStyle w:val="CodeBlock"/>
      </w:pPr>
      <w:r>
        <w:rPr>
          <w:rFonts w:ascii="Consolas" w:hAnsi="Consolas"/>
          <w:sz w:val="17"/>
        </w:rPr>
        <w:t>interface DurableProviderAdapter {</w:t>
        <w:br/>
      </w:r>
      <w:r>
        <w:rPr>
          <w:rFonts w:ascii="Consolas" w:hAnsi="Consolas"/>
          <w:sz w:val="17"/>
        </w:rPr>
        <w:t xml:space="preserve">  submit(request, idempotencyKey) -&gt; SubmissionResult</w:t>
        <w:br/>
      </w:r>
      <w:r>
        <w:rPr>
          <w:rFonts w:ascii="Consolas" w:hAnsi="Consolas"/>
          <w:sz w:val="17"/>
        </w:rPr>
        <w:t xml:space="preserve">  getStatus(providerExecutionId | idempotencyKey) -&gt; ProviderStatus</w:t>
        <w:br/>
      </w:r>
      <w:r>
        <w:rPr>
          <w:rFonts w:ascii="Consolas" w:hAnsi="Consolas"/>
          <w:sz w:val="17"/>
        </w:rPr>
        <w:t xml:space="preserve">  getResult(providerExecutionId) -&gt; ProviderResult</w:t>
        <w:br/>
      </w:r>
      <w:r>
        <w:rPr>
          <w:rFonts w:ascii="Consolas" w:hAnsi="Consolas"/>
          <w:sz w:val="17"/>
        </w:rPr>
        <w:t xml:space="preserve">  cancel(providerExecutionId) -&gt; optional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SubmissionResult:</w:t>
        <w:br/>
      </w:r>
      <w:r>
        <w:rPr>
          <w:rFonts w:ascii="Consolas" w:hAnsi="Consolas"/>
          <w:sz w:val="17"/>
        </w:rPr>
        <w:t xml:space="preserve">  providerExecutionId</w:t>
        <w:br/>
      </w:r>
      <w:r>
        <w:rPr>
          <w:rFonts w:ascii="Consolas" w:hAnsi="Consolas"/>
          <w:sz w:val="17"/>
        </w:rPr>
        <w:t xml:space="preserve">  state</w:t>
        <w:br/>
      </w:r>
      <w:r>
        <w:rPr>
          <w:rFonts w:ascii="Consolas" w:hAnsi="Consolas"/>
          <w:sz w:val="17"/>
        </w:rPr>
        <w:t xml:space="preserve">  providerRequestId</w:t>
        <w:br/>
      </w:r>
      <w:r>
        <w:rPr>
          <w:rFonts w:ascii="Consolas" w:hAnsi="Consolas"/>
          <w:sz w:val="17"/>
        </w:rPr>
        <w:t xml:space="preserve">  acceptedAt</w:t>
        <w:br/>
      </w:r>
    </w:p>
    <w:p>
      <w:r>
        <w:t>Adapters that cannot implement replay-safe submission and result lookup must explicitly declare Contract B unsupported; they must not silently degrade to Contract A semantics.</w:t>
      </w:r>
    </w:p>
    <w:p>
      <w:pPr>
        <w:pStyle w:val="Heading1"/>
      </w:pPr>
      <w:r>
        <w:t>15. Testing Strategy</w:t>
      </w:r>
    </w:p>
    <w:p>
      <w:pPr>
        <w:pStyle w:val="Heading2"/>
      </w:pPr>
      <w:r>
        <w:t>15.1 Contract tests against provider sandbox/mock</w:t>
      </w:r>
    </w:p>
    <w:p>
      <w:pPr>
        <w:pStyle w:val="ListBullet"/>
      </w:pPr>
      <w:r>
        <w:t>Same idempotency key + same digest returns same execution.</w:t>
      </w:r>
    </w:p>
    <w:p>
      <w:pPr>
        <w:pStyle w:val="ListBullet"/>
      </w:pPr>
      <w:r>
        <w:t>Same idempotency key + different digest conflicts.</w:t>
      </w:r>
    </w:p>
    <w:p>
      <w:pPr>
        <w:pStyle w:val="ListBullet"/>
      </w:pPr>
      <w:r>
        <w:t>Lost acknowledgement followed by retry returns/reconstructs same provider execution ID.</w:t>
      </w:r>
    </w:p>
    <w:p>
      <w:pPr>
        <w:pStyle w:val="ListBullet"/>
      </w:pPr>
      <w:r>
        <w:t>Completed result can be retrieved after caller process loss.</w:t>
      </w:r>
    </w:p>
    <w:p>
      <w:pPr>
        <w:pStyle w:val="ListBullet"/>
      </w:pPr>
      <w:r>
        <w:t>Webhook duplicates are idempotent.</w:t>
      </w:r>
    </w:p>
    <w:p>
      <w:pPr>
        <w:pStyle w:val="ListBullet"/>
      </w:pPr>
      <w:r>
        <w:t>Provider 5xx/timeout never creates a second logical execution.</w:t>
      </w:r>
    </w:p>
    <w:p>
      <w:pPr>
        <w:pStyle w:val="Heading2"/>
      </w:pPr>
      <w:r>
        <w:t>15.2 PostgreSQL integration tests</w:t>
      </w:r>
    </w:p>
    <w:p>
      <w:pPr>
        <w:pStyle w:val="ListBullet"/>
      </w:pPr>
      <w:r>
        <w:t>Admission CAS under concurrent duplicates.</w:t>
      </w:r>
    </w:p>
    <w:p>
      <w:pPr>
        <w:pStyle w:val="ListBullet"/>
      </w:pPr>
      <w:r>
        <w:t>Submission lease fencing.</w:t>
      </w:r>
    </w:p>
    <w:p>
      <w:pPr>
        <w:pStyle w:val="ListBullet"/>
      </w:pPr>
      <w:r>
        <w:t>Reconciliation lease reclaim after process death.</w:t>
      </w:r>
    </w:p>
    <w:p>
      <w:pPr>
        <w:pStyle w:val="ListBullet"/>
      </w:pPr>
      <w:r>
        <w:t>Exactly one durable provider execution mapping per requestId.</w:t>
      </w:r>
    </w:p>
    <w:p>
      <w:pPr>
        <w:pStyle w:val="ListBullet"/>
      </w:pPr>
      <w:r>
        <w:t>Exactly one durable result per requestId/providerExecutionId.</w:t>
      </w:r>
    </w:p>
    <w:p>
      <w:pPr>
        <w:pStyle w:val="ListBullet"/>
      </w:pPr>
      <w:r>
        <w:t>Transition ledger monotonicity and terminal-state guards.</w:t>
      </w:r>
    </w:p>
    <w:p>
      <w:pPr>
        <w:pStyle w:val="Heading2"/>
      </w:pPr>
      <w:r>
        <w:t>15.3 T15/chaos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Fault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proof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Kill before provider acknowledgement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 provider execution recovered via key/lookup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Drop acknowledgement response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duplicate provider execution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Kill while provider running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Replacement polls same execution ID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Kill after provider completion before local result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 retrieved and persisted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Reconciliation worker death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Lease reclaim; no duplicate polling authority side effects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callbacks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durable result/terminal transition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reconciliation outage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Execution remains RECONCILING/PENDING; no replacement execution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Learning-platform death after result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Adopt same durable result/gate exactly once</w:t>
            </w:r>
          </w:p>
        </w:tc>
      </w:tr>
    </w:tbl>
    <w:p/>
    <w:p>
      <w:pPr>
        <w:pStyle w:val="Heading1"/>
      </w:pPr>
      <w:r>
        <w:t>16. Rollout Strategy</w:t>
      </w:r>
    </w:p>
    <w:p>
      <w:pPr>
        <w:pStyle w:val="ListNumber"/>
      </w:pPr>
      <w:r>
        <w:t>Provider capability ADR and proof-of-contract in non-production environment.</w:t>
      </w:r>
    </w:p>
    <w:p>
      <w:pPr>
        <w:pStyle w:val="ListNumber"/>
      </w:pPr>
      <w:r>
        <w:t>Introduce durable execution schema and service behind feature flag.</w:t>
      </w:r>
    </w:p>
    <w:p>
      <w:pPr>
        <w:pStyle w:val="ListNumber"/>
      </w:pPr>
      <w:r>
        <w:t>Shadow admission/status recording without changing production decision path.</w:t>
      </w:r>
    </w:p>
    <w:p>
      <w:pPr>
        <w:pStyle w:val="ListNumber"/>
      </w:pPr>
      <w:r>
        <w:t>Enable one provider/model route with Contract B adapter.</w:t>
      </w:r>
    </w:p>
    <w:p>
      <w:pPr>
        <w:pStyle w:val="ListNumber"/>
      </w:pPr>
      <w:r>
        <w:t>Run duplicate/race/crash qualification and cost validation.</w:t>
      </w:r>
    </w:p>
    <w:p>
      <w:pPr>
        <w:pStyle w:val="ListNumber"/>
      </w:pPr>
      <w:r>
        <w:t>Canary small traffic percentage with strict rollback.</w:t>
      </w:r>
    </w:p>
    <w:p>
      <w:pPr>
        <w:pStyle w:val="ListNumber"/>
      </w:pPr>
      <w:r>
        <w:t>Expand only after reconciliation SLOs and operational runbooks are proven.</w:t>
      </w:r>
    </w:p>
    <w:p>
      <w:pPr>
        <w:pStyle w:val="ListNumber"/>
      </w:pPr>
      <w:r>
        <w:t>Retain Contract A fallback only as an explicit separate route/policy, never silently.</w:t>
      </w:r>
    </w:p>
    <w:p>
      <w:pPr>
        <w:pStyle w:val="Heading1"/>
      </w:pPr>
      <w:r>
        <w:t>17. Migration from Contract A</w:t>
      </w:r>
    </w:p>
    <w:p>
      <w:r>
        <w:t>Do not reinterpret historical Contract-A IN_FLIGHT rows as recoverable. They lack a provider execution identity and remain LEGACY_INDETERMINATE. Contract B applies only to executions admitted after the new provider-capability version is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Existing state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Migration treatment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May remain under old contract or be explicitly re-admitted before dispatch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DISPATCH_OWNED/IN_FLIGHT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migrate to recoverable; mark legacy policy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INDETERMINATE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Remain terminal historical fact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SUCCEEDED/FAILED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Remain terminal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Contract-B request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new durable execution tables/provider contract version</w:t>
            </w:r>
          </w:p>
        </w:tc>
      </w:tr>
    </w:tbl>
    <w:p/>
    <w:p>
      <w:pPr>
        <w:pStyle w:val="Heading1"/>
      </w:pPr>
      <w:r>
        <w:t>18. Acceptance Criteria / Definition of Done</w:t>
      </w:r>
    </w:p>
    <w:p>
      <w:pPr>
        <w:pStyle w:val="ListBullet"/>
      </w:pPr>
      <w:r>
        <w:t>Provider contract independently proves replay-safe submission and result retrieval.</w:t>
      </w:r>
    </w:p>
    <w:p>
      <w:pPr>
        <w:pStyle w:val="ListBullet"/>
      </w:pPr>
      <w:r>
        <w:t>Every logical request maps to at most one provider execution ID.</w:t>
      </w:r>
    </w:p>
    <w:p>
      <w:pPr>
        <w:pStyle w:val="ListBullet"/>
      </w:pPr>
      <w:r>
        <w:t>Lost acknowledgement does not create duplicate provider execution.</w:t>
      </w:r>
    </w:p>
    <w:p>
      <w:pPr>
        <w:pStyle w:val="ListBullet"/>
      </w:pPr>
      <w:r>
        <w:t>Provider terminal result remains retrievable after process death.</w:t>
      </w:r>
    </w:p>
    <w:p>
      <w:pPr>
        <w:pStyle w:val="ListBullet"/>
      </w:pPr>
      <w:r>
        <w:t>RAMALS-AI persists result before learning-platform adoption.</w:t>
      </w:r>
    </w:p>
    <w:p>
      <w:pPr>
        <w:pStyle w:val="ListBullet"/>
      </w:pPr>
      <w:r>
        <w:t>Reconciliation workers are durable, fenced and observable.</w:t>
      </w:r>
    </w:p>
    <w:p>
      <w:pPr>
        <w:pStyle w:val="ListBullet"/>
      </w:pPr>
      <w:r>
        <w:t>Crash matrix proves recovery at every external-side-effect boundary.</w:t>
      </w:r>
    </w:p>
    <w:p>
      <w:pPr>
        <w:pStyle w:val="ListBullet"/>
      </w:pPr>
      <w:r>
        <w:t>Cost evidence shows no duplicate model execution for one logical request under qualified faults.</w:t>
      </w:r>
    </w:p>
    <w:p>
      <w:pPr>
        <w:pStyle w:val="ListBullet"/>
      </w:pPr>
      <w:r>
        <w:t>Security, performance and operational runbooks are approved.</w:t>
      </w:r>
    </w:p>
    <w:p>
      <w:pPr>
        <w:pStyle w:val="Heading1"/>
      </w:pPr>
      <w:r>
        <w:t>19. Risks and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 / 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does not truly support idempotent submission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Contract B unavailable for that provider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Result-retention window too short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RAMALS reconciliation SLA must be shorter or persist result via callback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Polling cost/rate limits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Backoff, webhooks, provider-specific quotas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Higher platform complexity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Isolate in RAMALS-AI durable execution service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State-machine corruption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DB constraints, CAS, append-only transition ledger, mutation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contract changes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Versioned provider-capability profile and qualification gate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Cross-tenant leakage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Strict ownership metadata and service authorization</w:t>
            </w:r>
          </w:p>
        </w:tc>
      </w:tr>
    </w:tbl>
    <w:p/>
    <w:p>
      <w:pPr>
        <w:pStyle w:val="Heading1"/>
      </w:pPr>
      <w:r>
        <w:t>20. Recommended Milestone Placement</w:t>
      </w:r>
    </w:p>
    <w:p>
      <w:r>
        <w:t>Contract B should be implemented only after MVP-2 is closed with Contract A and a provider capability has been selected that can satisfy the hard preconditions. It is appropriate for a later reliability/research milestone where durable AI execution, reconciliation, provider portability, and failure semantics can be evaluated as first-class platform capabilities.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Contract B - Durable Recoverable AI Execution  |  RAMALS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 w:right="216"/>
      <w:shd w:fill="F3F5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