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ADR-006</w:t>
        <w:br/>
        <w:t>Versioned Grounded Context Contract</w:t>
      </w:r>
    </w:p>
    <w:p>
      <w:pPr>
        <w:jc w:val="center"/>
      </w:pPr>
      <w:r>
        <w:rPr>
          <w:i/>
        </w:rPr>
        <w:t>RAMALS MVP-2 Architecture Decision Record</w:t>
      </w:r>
    </w:p>
    <w:p/>
    <w:p>
      <w:pPr>
        <w:pStyle w:val="Heading1"/>
      </w:pPr>
      <w:r>
        <w:t>Status</w:t>
      </w:r>
    </w:p>
    <w:p>
      <w:r>
        <w:t>PROPOSED — approve during M2-T01 before dependent implementation.</w:t>
      </w:r>
    </w:p>
    <w:p>
      <w:pPr>
        <w:pStyle w:val="Heading1"/>
      </w:pPr>
      <w:r>
        <w:t>Context</w:t>
      </w:r>
    </w:p>
    <w:p>
      <w:r>
        <w:t>Agents need learner evidence, mastery, curriculum, approved content and policy context without unrestricted access to authoritative storage.</w:t>
      </w:r>
    </w:p>
    <w:p>
      <w:pPr>
        <w:pStyle w:val="Heading1"/>
      </w:pPr>
      <w:r>
        <w:t>Decision</w:t>
      </w:r>
    </w:p>
    <w:p>
      <w:r>
        <w:t>Backend builds a bounded, authorized, versioned GroundedContext containing stable evidence/source IDs and metadata. AI plane consumes this contract rather than querying core tables directly.</w:t>
      </w:r>
    </w:p>
    <w:p>
      <w:pPr>
        <w:pStyle w:val="Heading1"/>
      </w:pPr>
      <w:r>
        <w:t>Alternatives Considered</w:t>
      </w:r>
    </w:p>
    <w:p>
      <w:pPr>
        <w:pStyle w:val="ListBullet"/>
      </w:pPr>
      <w:r>
        <w:t>Give AI plane DB read access</w:t>
      </w:r>
    </w:p>
    <w:p>
      <w:pPr>
        <w:pStyle w:val="ListBullet"/>
      </w:pPr>
      <w:r>
        <w:t>Send arbitrary domain dumps</w:t>
      </w:r>
    </w:p>
    <w:p>
      <w:pPr>
        <w:pStyle w:val="ListBullet"/>
      </w:pPr>
      <w:r>
        <w:t>Let LLM retrieve unrestricted internal data</w:t>
      </w:r>
    </w:p>
    <w:p>
      <w:pPr>
        <w:pStyle w:val="Heading1"/>
      </w:pPr>
      <w:r>
        <w:t>Rationale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Reproducible context</w:t>
      </w:r>
    </w:p>
    <w:p>
      <w:pPr>
        <w:pStyle w:val="ListBullet"/>
      </w:pPr>
      <w:r>
        <w:t>Clear Java/Python contract</w:t>
      </w:r>
    </w:p>
    <w:p>
      <w:pPr>
        <w:pStyle w:val="Heading1"/>
      </w:pPr>
      <w:r>
        <w:t>Consequences</w:t>
      </w:r>
    </w:p>
    <w:p>
      <w:pPr>
        <w:pStyle w:val="ListBullet"/>
      </w:pPr>
      <w:r>
        <w:t>Context builders require maintenance</w:t>
      </w:r>
    </w:p>
    <w:p>
      <w:pPr>
        <w:pStyle w:val="ListBullet"/>
      </w:pPr>
      <w:r>
        <w:t>Size/freshness policies must be explicit</w:t>
      </w:r>
    </w:p>
    <w:p>
      <w:pPr>
        <w:pStyle w:val="Heading1"/>
      </w:pPr>
      <w:r>
        <w:t>Security / Operability Impact</w:t>
      </w:r>
    </w:p>
    <w:p>
      <w:r>
        <w:t>This decision must be validated through the MVP-2 testing and qualification matrix, including failure, replay, authorization, observability and evidence-integrity scenarios relevant to the decision.</w:t>
      </w:r>
    </w:p>
    <w:p>
      <w:pPr>
        <w:pStyle w:val="Heading1"/>
      </w:pPr>
      <w:r>
        <w:t>Migration / Compatibility Impact</w:t>
      </w:r>
    </w:p>
    <w:p>
      <w:r>
        <w:t>Implementation must preserve MVP-1 historical evidence and use additive/versioned contracts or migrations where persisted data is affected.</w:t>
      </w:r>
    </w:p>
    <w:p>
      <w:pPr>
        <w:pStyle w:val="Heading1"/>
      </w:pPr>
      <w:r>
        <w:t>Testing Implications</w:t>
      </w:r>
    </w:p>
    <w:p>
      <w:r>
        <w:t>Acceptance requires deterministic automated tests plus deployed qualification where the decision concerns runtime durability, provider integration, tracing or recovery.</w:t>
      </w:r>
    </w:p>
    <w:p>
      <w:pPr>
        <w:pStyle w:val="Heading1"/>
      </w:pPr>
      <w:r>
        <w:t>Revisit Trigger</w:t>
      </w:r>
    </w:p>
    <w:p>
      <w:r>
        <w:t>Revisit as new domains/content sources are introduced.</w:t>
      </w:r>
    </w:p>
    <w:p>
      <w:pPr>
        <w:pStyle w:val="Heading1"/>
      </w:pPr>
      <w:r>
        <w:t>Implementation Mapping</w:t>
      </w:r>
    </w:p>
    <w:p>
      <w:r>
        <w:t>Implementation task IDs and PR/evidence references should be added when this ADR is accepted and executed.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ADR-006 | RAMALS MVP-2 ADR Package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