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ADR-010</w:t>
        <w:br/>
        <w:t>Deterministic-First Assessment Scoring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Many assessment types have objectively computable answers; using an LLM adds cost and nondeterminism without value.</w:t>
      </w:r>
    </w:p>
    <w:p>
      <w:pPr>
        <w:pStyle w:val="Heading1"/>
      </w:pPr>
      <w:r>
        <w:t>Decision</w:t>
      </w:r>
    </w:p>
    <w:p>
      <w:r>
        <w:t>MCQ, true/false, numeric, exact-match and executable deterministic checks use deterministic scoring. AI-assisted evaluation is reserved for rubric-bound free-text/design/reasoning responses and remains proposal-only.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Use LLM for every assessment</w:t>
      </w:r>
    </w:p>
    <w:p>
      <w:pPr>
        <w:pStyle w:val="ListBullet"/>
      </w:pPr>
      <w:r>
        <w:t>Never use AI evaluation</w:t>
      </w:r>
    </w:p>
    <w:p>
      <w:pPr>
        <w:pStyle w:val="Heading1"/>
      </w:pPr>
      <w:r>
        <w:t>Rationale</w:t>
      </w:r>
    </w:p>
    <w:p>
      <w:pPr>
        <w:pStyle w:val="ListBullet"/>
      </w:pPr>
      <w:r>
        <w:t>Lower cost/latency</w:t>
      </w:r>
    </w:p>
    <w:p>
      <w:pPr>
        <w:pStyle w:val="ListBullet"/>
      </w:pPr>
      <w:r>
        <w:t>Higher reproducibility</w:t>
      </w:r>
    </w:p>
    <w:p>
      <w:pPr>
        <w:pStyle w:val="ListBullet"/>
      </w:pPr>
      <w:r>
        <w:t>Uses AI where semantic judgment is valuable</w:t>
      </w:r>
    </w:p>
    <w:p>
      <w:pPr>
        <w:pStyle w:val="Heading1"/>
      </w:pPr>
      <w:r>
        <w:t>Consequences</w:t>
      </w:r>
    </w:p>
    <w:p>
      <w:pPr>
        <w:pStyle w:val="ListBullet"/>
      </w:pPr>
      <w:r>
        <w:t>Two evaluation paths must converge on consistent evidence contracts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per assessment type based on measurable need.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ADR-010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