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ADR-013</w:t>
        <w:br/>
        <w:t>Live-Provider Qualification Is Selective; Deterministic Regression Uses Fakes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Live models cost money, vary over time and cannot deterministically exercise all failure/retry cases, but real provider integration must still be proven.</w:t>
      </w:r>
    </w:p>
    <w:p>
      <w:pPr>
        <w:pStyle w:val="Heading1"/>
      </w:pPr>
      <w:r>
        <w:t>Decision</w:t>
      </w:r>
    </w:p>
    <w:p>
      <w:r>
        <w:t>Use ci-fake/stubs for broad regression and fault injection. Use controlled live-provider runs to prove SDK/provider integration, structured output, routing/provenance and representative behavior. Credentials are runtime-only and evidence is sanitized.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All tests live</w:t>
      </w:r>
    </w:p>
    <w:p>
      <w:pPr>
        <w:pStyle w:val="ListBullet"/>
      </w:pPr>
      <w:r>
        <w:t>No live qualification</w:t>
      </w:r>
    </w:p>
    <w:p>
      <w:pPr>
        <w:pStyle w:val="Heading1"/>
      </w:pPr>
      <w:r>
        <w:t>Rationale</w:t>
      </w:r>
    </w:p>
    <w:p>
      <w:pPr>
        <w:pStyle w:val="ListBullet"/>
      </w:pPr>
      <w:r>
        <w:t>Balances reproducibility, cost and real integration assurance</w:t>
      </w:r>
    </w:p>
    <w:p>
      <w:pPr>
        <w:pStyle w:val="Heading1"/>
      </w:pPr>
      <w:r>
        <w:t>Consequences</w:t>
      </w:r>
    </w:p>
    <w:p>
      <w:pPr>
        <w:pStyle w:val="ListBullet"/>
      </w:pPr>
      <w:r>
        <w:t>Requires explicit evidence distinguishing fake vs live runs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cadence/cost policy as CI environments mature.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ADR-013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