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ADR-014</w:t>
        <w:br/>
        <w:t>Versioned Multi-Vendor Model Routing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Logical routes such as adaptation-default may resolve to multiple approved providers/models. Route names alone are insufficient provenance.</w:t>
      </w:r>
    </w:p>
    <w:p>
      <w:pPr>
        <w:pStyle w:val="Heading1"/>
      </w:pPr>
      <w:r>
        <w:t>Decision</w:t>
      </w:r>
    </w:p>
    <w:p>
      <w:r>
        <w:t>Maintain versioned route tables/configuration. Resolve a logical route to an approved provider/model at execution time and persist the resolved route version plus concrete provider/model in ai_execution.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Hard-code model per agent</w:t>
      </w:r>
    </w:p>
    <w:p>
      <w:pPr>
        <w:pStyle w:val="ListBullet"/>
      </w:pPr>
      <w:r>
        <w:t>Store only provider/model and remove logical routes</w:t>
      </w:r>
    </w:p>
    <w:p>
      <w:pPr>
        <w:pStyle w:val="ListBullet"/>
      </w:pPr>
      <w:r>
        <w:t>Unversioned dynamic routing</w:t>
      </w:r>
    </w:p>
    <w:p>
      <w:pPr>
        <w:pStyle w:val="Heading1"/>
      </w:pPr>
      <w:r>
        <w:t>Rationale</w:t>
      </w:r>
    </w:p>
    <w:p>
      <w:pPr>
        <w:pStyle w:val="ListBullet"/>
      </w:pPr>
      <w:r>
        <w:t>Allows vendor portability while preserving reproducibility</w:t>
      </w:r>
    </w:p>
    <w:p>
      <w:pPr>
        <w:pStyle w:val="ListBullet"/>
      </w:pPr>
      <w:r>
        <w:t>Separates business intent from provider implementation</w:t>
      </w:r>
    </w:p>
    <w:p>
      <w:pPr>
        <w:pStyle w:val="Heading1"/>
      </w:pPr>
      <w:r>
        <w:t>Consequences</w:t>
      </w:r>
    </w:p>
    <w:p>
      <w:pPr>
        <w:pStyle w:val="ListBullet"/>
      </w:pPr>
      <w:r>
        <w:t>Routing changes require governance and compatibility tests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when adding policy-based cost/latency/fallback routing.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ADR-014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