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ADR-015</w:t>
        <w:br/>
        <w:t>Observability and Correlation Are Part of the Agent Contract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MVP-2 asynchronous workflows span Java, Python, database and model providers; logs alone cannot reconstruct a decision.</w:t>
      </w:r>
    </w:p>
    <w:p>
      <w:pPr>
        <w:pStyle w:val="Heading1"/>
      </w:pPr>
      <w:r>
        <w:t>Decision</w:t>
      </w:r>
    </w:p>
    <w:p>
      <w:r>
        <w:t>Propagate interactionId, W3C traceId/span context, requestId and agentRunId across boundaries. Persist stable joins among source evidence, outbox work, ai_execution and decision_record.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Log-only correlation</w:t>
      </w:r>
    </w:p>
    <w:p>
      <w:pPr>
        <w:pStyle w:val="ListBullet"/>
      </w:pPr>
      <w:r>
        <w:t>Generate unrelated IDs per service</w:t>
      </w:r>
    </w:p>
    <w:p>
      <w:pPr>
        <w:pStyle w:val="Heading1"/>
      </w:pPr>
      <w:r>
        <w:t>Rationale</w:t>
      </w:r>
    </w:p>
    <w:p>
      <w:pPr>
        <w:pStyle w:val="ListBullet"/>
      </w:pPr>
      <w:r>
        <w:t>End-to-end auditability</w:t>
      </w:r>
    </w:p>
    <w:p>
      <w:pPr>
        <w:pStyle w:val="ListBullet"/>
      </w:pPr>
      <w:r>
        <w:t>Faster incident analysis</w:t>
      </w:r>
    </w:p>
    <w:p>
      <w:pPr>
        <w:pStyle w:val="ListBullet"/>
      </w:pPr>
      <w:r>
        <w:t>Supports research evidence</w:t>
      </w:r>
    </w:p>
    <w:p>
      <w:pPr>
        <w:pStyle w:val="Heading1"/>
      </w:pPr>
      <w:r>
        <w:t>Consequences</w:t>
      </w:r>
    </w:p>
    <w:p>
      <w:pPr>
        <w:pStyle w:val="ListBullet"/>
      </w:pPr>
      <w:r>
        <w:t>Instrumentation is mandatory in every new path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only to extend standards, not remove correlation.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ADR-015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