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SYSTEM DESIGN LAB</w:t>
      </w:r>
    </w:p>
    <w:p>
      <w:pPr>
        <w:pStyle w:val="Title"/>
        <w:jc w:val="center"/>
      </w:pPr>
      <w:r>
        <w:t>Phase 1 Architecture</w:t>
        <w:br/>
        <w:t>Production-Quality Modular Monolith</w:t>
      </w:r>
    </w:p>
    <w:p>
      <w:pPr>
        <w:jc w:val="center"/>
      </w:pPr>
      <w:r>
        <w:rPr>
          <w:b/>
          <w:sz w:val="32"/>
        </w:rPr>
        <w:t>Global Order &amp; Payment Platform</w:t>
      </w:r>
    </w:p>
    <w:p>
      <w:pPr>
        <w:jc w:val="center"/>
      </w:pPr>
      <w:r>
        <w:t>DDD + Modular Monolith + Hexagonal Architecture + PostgreSQL/ACID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t>Purpose</w:t>
            </w:r>
          </w:p>
        </w:tc>
        <w:tc>
          <w:tcPr>
            <w:tcW w:type="dxa" w:w="5040"/>
            <w:vAlign w:val="top"/>
          </w:tcPr>
          <w:p>
            <w:r>
              <w:t>Baseline HLD, LLD and Architecture Decision Records for Phase 1</w:t>
            </w:r>
          </w:p>
        </w:tc>
      </w:tr>
      <w:tr>
        <w:tc>
          <w:tcPr>
            <w:tcW w:type="dxa" w:w="5040"/>
            <w:vAlign w:val="top"/>
          </w:tcPr>
          <w:p>
            <w:r>
              <w:t>Architecture maturity</w:t>
            </w:r>
          </w:p>
        </w:tc>
        <w:tc>
          <w:tcPr>
            <w:tcW w:type="dxa" w:w="5040"/>
            <w:vAlign w:val="top"/>
          </w:tcPr>
          <w:p>
            <w:r>
              <w:t>Phase 1 - correctness-first, single deployable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stack</w:t>
            </w:r>
          </w:p>
        </w:tc>
        <w:tc>
          <w:tcPr>
            <w:tcW w:type="dxa" w:w="5040"/>
            <w:vAlign w:val="top"/>
          </w:tcPr>
          <w:p>
            <w:r>
              <w:t>Java 21+, Spring Boot, Gradle, PostgreSQL, Flyway, Testcontainers, Docker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quality goal</w:t>
            </w:r>
          </w:p>
        </w:tc>
        <w:tc>
          <w:tcPr>
            <w:tcW w:type="dxa" w:w="5040"/>
            <w:vAlign w:val="top"/>
          </w:tcPr>
          <w:p>
            <w:r>
              <w:t>Correct, testable domain model with enforceable boundaries</w:t>
            </w:r>
          </w:p>
        </w:tc>
      </w:tr>
      <w:tr>
        <w:tc>
          <w:tcPr>
            <w:tcW w:type="dxa" w:w="5040"/>
            <w:vAlign w:val="top"/>
          </w:tcPr>
          <w:p>
            <w:r>
              <w:t>Evolution principle</w:t>
            </w:r>
          </w:p>
        </w:tc>
        <w:tc>
          <w:tcPr>
            <w:tcW w:type="dxa" w:w="5040"/>
            <w:vAlign w:val="top"/>
          </w:tcPr>
          <w:p>
            <w:r>
              <w:t>Introduce distribution only when measured requirements justify it</w:t>
            </w:r>
          </w:p>
        </w:tc>
      </w:tr>
    </w:tbl>
    <w:p>
      <w:r>
        <w:br w:type="page"/>
      </w:r>
    </w:p>
    <w:p>
      <w:pPr>
        <w:pStyle w:val="Heading1"/>
      </w:pPr>
      <w:r>
        <w:t>1. Executive Architecture Decision</w:t>
      </w:r>
    </w:p>
    <w:p>
      <w:r>
        <w:t>Phase 1 will implement the Order &amp; Payment Platform as a production-quality modular monolith. Domain-Driven Design (DDD) defines business boundaries, while Hexagonal Architecture (Ports &amp; Adapters) defines dependency direction inside each module. PostgreSQL is the authoritative transactional store, and local ACID transactions are deliberately preferred while all participating state remains in one deployment/database boundary.</w:t>
      </w:r>
    </w:p>
    <w:p>
      <w:r>
        <w:t>Phase 1 explicitly does not introduce Kafka, Redis, microservices, Kubernetes, Saga, CQRS, Event Sourcing, or multi-region deployment. Those technologies are reserved for later phases when a concrete bottleneck, availability target, scaling characteristic, independent deployment need, or distributed consistency requirement justifies them.</w:t>
      </w:r>
    </w:p>
    <w:p>
      <w:pPr>
        <w:pStyle w:val="Heading1"/>
      </w:pPr>
      <w:r>
        <w:t>2. Goals and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Goals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Non-Goals</w:t>
            </w:r>
          </w:p>
        </w:tc>
      </w:tr>
      <w:tr>
        <w:tc>
          <w:tcPr>
            <w:tcW w:type="dxa" w:w="5040"/>
            <w:vAlign w:val="top"/>
          </w:tcPr>
          <w:p>
            <w:r>
              <w:t>Establish clear bounded contexts and module ownership</w:t>
            </w:r>
          </w:p>
        </w:tc>
        <w:tc>
          <w:tcPr>
            <w:tcW w:type="dxa" w:w="5040"/>
            <w:vAlign w:val="top"/>
          </w:tcPr>
          <w:p>
            <w:r>
              <w:t>Premature microservice decomposition</w:t>
            </w:r>
          </w:p>
        </w:tc>
      </w:tr>
      <w:tr>
        <w:tc>
          <w:tcPr>
            <w:tcW w:type="dxa" w:w="5040"/>
            <w:vAlign w:val="top"/>
          </w:tcPr>
          <w:p>
            <w:r>
              <w:t>Protect business logic from frameworks/infrastructure</w:t>
            </w:r>
          </w:p>
        </w:tc>
        <w:tc>
          <w:tcPr>
            <w:tcW w:type="dxa" w:w="5040"/>
            <w:vAlign w:val="top"/>
          </w:tcPr>
          <w:p>
            <w:r>
              <w:t>Kafka/event-driven distribution</w:t>
            </w:r>
          </w:p>
        </w:tc>
      </w:tr>
      <w:tr>
        <w:tc>
          <w:tcPr>
            <w:tcW w:type="dxa" w:w="5040"/>
            <w:vAlign w:val="top"/>
          </w:tcPr>
          <w:p>
            <w:r>
              <w:t>Correct order, inventory and payment state transitions</w:t>
            </w:r>
          </w:p>
        </w:tc>
        <w:tc>
          <w:tcPr>
            <w:tcW w:type="dxa" w:w="5040"/>
            <w:vAlign w:val="top"/>
          </w:tcPr>
          <w:p>
            <w:r>
              <w:t>Internet-scale throughput in Phase 1</w:t>
            </w:r>
          </w:p>
        </w:tc>
      </w:tr>
      <w:tr>
        <w:tc>
          <w:tcPr>
            <w:tcW w:type="dxa" w:w="5040"/>
            <w:vAlign w:val="top"/>
          </w:tcPr>
          <w:p>
            <w:r>
              <w:t>Safe concurrent inventory reservation</w:t>
            </w:r>
          </w:p>
        </w:tc>
        <w:tc>
          <w:tcPr>
            <w:tcW w:type="dxa" w:w="5040"/>
            <w:vAlign w:val="top"/>
          </w:tcPr>
          <w:p>
            <w:r>
              <w:t>Multi-region active-active</w:t>
            </w:r>
          </w:p>
        </w:tc>
      </w:tr>
      <w:tr>
        <w:tc>
          <w:tcPr>
            <w:tcW w:type="dxa" w:w="5040"/>
            <w:vAlign w:val="top"/>
          </w:tcPr>
          <w:p>
            <w:r>
              <w:t>Idempotent order/payment creation</w:t>
            </w:r>
          </w:p>
        </w:tc>
        <w:tc>
          <w:tcPr>
            <w:tcW w:type="dxa" w:w="5040"/>
            <w:vAlign w:val="top"/>
          </w:tcPr>
          <w:p>
            <w:r>
              <w:t>CQRS/Event Sourcing unless later justified</w:t>
            </w:r>
          </w:p>
        </w:tc>
      </w:tr>
      <w:tr>
        <w:tc>
          <w:tcPr>
            <w:tcW w:type="dxa" w:w="5040"/>
            <w:vAlign w:val="top"/>
          </w:tcPr>
          <w:p>
            <w:r>
              <w:t>Automated architecture-boundary enforcement</w:t>
            </w:r>
          </w:p>
        </w:tc>
        <w:tc>
          <w:tcPr>
            <w:tcW w:type="dxa" w:w="5040"/>
            <w:vAlign w:val="top"/>
          </w:tcPr>
          <w:p>
            <w:r>
              <w:t>Complex service mesh/platform engineering</w:t>
            </w:r>
          </w:p>
        </w:tc>
      </w:tr>
      <w:tr>
        <w:tc>
          <w:tcPr>
            <w:tcW w:type="dxa" w:w="5040"/>
            <w:vAlign w:val="top"/>
          </w:tcPr>
          <w:p>
            <w:r>
              <w:t>Baseline logs, metrics, trace/correlation identifiers</w:t>
            </w:r>
          </w:p>
        </w:tc>
        <w:tc>
          <w:tcPr>
            <w:tcW w:type="dxa" w:w="5040"/>
            <w:vAlign w:val="top"/>
          </w:tcPr>
          <w:p>
            <w:r>
              <w:t>AI/RAG/MCP execution in Phase 1</w:t>
            </w:r>
          </w:p>
        </w:tc>
      </w:tr>
    </w:tbl>
    <w:p>
      <w:pPr>
        <w:pStyle w:val="Heading1"/>
      </w:pPr>
      <w:r>
        <w:t>3. Functional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Bounded Context / Module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5040"/>
            <w:vAlign w:val="top"/>
          </w:tcPr>
          <w:p>
            <w:r>
              <w:t>Customer</w:t>
            </w:r>
          </w:p>
        </w:tc>
        <w:tc>
          <w:tcPr>
            <w:tcW w:type="dxa" w:w="5040"/>
            <w:vAlign w:val="top"/>
          </w:tcPr>
          <w:p>
            <w:r>
              <w:t>Customer identity/profile reference required for ordering</w:t>
            </w:r>
          </w:p>
        </w:tc>
      </w:tr>
      <w:tr>
        <w:tc>
          <w:tcPr>
            <w:tcW w:type="dxa" w:w="5040"/>
            <w:vAlign w:val="top"/>
          </w:tcPr>
          <w:p>
            <w:r>
              <w:t>Catalog</w:t>
            </w:r>
          </w:p>
        </w:tc>
        <w:tc>
          <w:tcPr>
            <w:tcW w:type="dxa" w:w="5040"/>
            <w:vAlign w:val="top"/>
          </w:tcPr>
          <w:p>
            <w:r>
              <w:t>Product definition, SKU, price/reference 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Cart</w:t>
            </w:r>
          </w:p>
        </w:tc>
        <w:tc>
          <w:tcPr>
            <w:tcW w:type="dxa" w:w="5040"/>
            <w:vAlign w:val="top"/>
          </w:tcPr>
          <w:p>
            <w:r>
              <w:t>Customer shopping cart and cart items</w:t>
            </w:r>
          </w:p>
        </w:tc>
      </w:tr>
      <w:tr>
        <w:tc>
          <w:tcPr>
            <w:tcW w:type="dxa" w:w="5040"/>
            <w:vAlign w:val="top"/>
          </w:tcPr>
          <w:p>
            <w:r>
              <w:t>Order</w:t>
            </w:r>
          </w:p>
        </w:tc>
        <w:tc>
          <w:tcPr>
            <w:tcW w:type="dxa" w:w="5040"/>
            <w:vAlign w:val="top"/>
          </w:tcPr>
          <w:p>
            <w:r>
              <w:t>Order aggregate, order lifecycle and orchestration of the Phase-1 order use case</w:t>
            </w:r>
          </w:p>
        </w:tc>
      </w:tr>
      <w:tr>
        <w:tc>
          <w:tcPr>
            <w:tcW w:type="dxa" w:w="5040"/>
            <w:vAlign w:val="top"/>
          </w:tcPr>
          <w:p>
            <w:r>
              <w:t>Inventory</w:t>
            </w:r>
          </w:p>
        </w:tc>
        <w:tc>
          <w:tcPr>
            <w:tcW w:type="dxa" w:w="5040"/>
            <w:vAlign w:val="top"/>
          </w:tcPr>
          <w:p>
            <w:r>
              <w:t>Available stock and reservation/release rules</w:t>
            </w:r>
          </w:p>
        </w:tc>
      </w:tr>
      <w:tr>
        <w:tc>
          <w:tcPr>
            <w:tcW w:type="dxa" w:w="5040"/>
            <w:vAlign w:val="top"/>
          </w:tcPr>
          <w:p>
            <w:r>
              <w:t>Payment</w:t>
            </w:r>
          </w:p>
        </w:tc>
        <w:tc>
          <w:tcPr>
            <w:tcW w:type="dxa" w:w="5040"/>
            <w:vAlign w:val="top"/>
          </w:tcPr>
          <w:p>
            <w:r>
              <w:t>Payment intent/authorization record and payment lifecycle</w:t>
            </w:r>
          </w:p>
        </w:tc>
      </w:tr>
    </w:tbl>
    <w:p>
      <w:r>
        <w:t>Primary Phase-1 use cases: browse/get product, manage cart, place order, retrieve order, cancel eligible order, reserve/release inventory, create/record payment authorization.</w:t>
      </w:r>
    </w:p>
    <w:p>
      <w:pPr>
        <w:pStyle w:val="Heading1"/>
      </w:pPr>
      <w:r>
        <w:t>4. Quality Attributes / NFR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Phase-1 target / rule</w:t>
            </w:r>
          </w:p>
        </w:tc>
      </w:tr>
      <w:tr>
        <w:tc>
          <w:tcPr>
            <w:tcW w:type="dxa" w:w="5040"/>
            <w:vAlign w:val="top"/>
          </w:tcPr>
          <w:p>
            <w:r>
              <w:t>Correctness</w:t>
            </w:r>
          </w:p>
        </w:tc>
        <w:tc>
          <w:tcPr>
            <w:tcW w:type="dxa" w:w="5040"/>
            <w:vAlign w:val="top"/>
          </w:tcPr>
          <w:p>
            <w:r>
              <w:t>No overselling under concurrent requests; no duplicate order for same accepted idempotency key</w:t>
            </w:r>
          </w:p>
        </w:tc>
      </w:tr>
      <w:tr>
        <w:tc>
          <w:tcPr>
            <w:tcW w:type="dxa" w:w="5040"/>
            <w:vAlign w:val="top"/>
          </w:tcPr>
          <w:p>
            <w:r>
              <w:t>Consistency</w:t>
            </w:r>
          </w:p>
        </w:tc>
        <w:tc>
          <w:tcPr>
            <w:tcW w:type="dxa" w:w="5040"/>
            <w:vAlign w:val="top"/>
          </w:tcPr>
          <w:p>
            <w:r>
              <w:t>Strong consistency within the local PostgreSQL transaction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t>Availability</w:t>
            </w:r>
          </w:p>
        </w:tc>
        <w:tc>
          <w:tcPr>
            <w:tcW w:type="dxa" w:w="5040"/>
            <w:vAlign w:val="top"/>
          </w:tcPr>
          <w:p>
            <w:r>
              <w:t>Single-deployment baseline; graceful application errors and health endpoints</w:t>
            </w:r>
          </w:p>
        </w:tc>
      </w:tr>
      <w:tr>
        <w:tc>
          <w:tcPr>
            <w:tcW w:type="dxa" w:w="5040"/>
            <w:vAlign w:val="top"/>
          </w:tcPr>
          <w:p>
            <w:r>
              <w:t>Latency</w:t>
            </w:r>
          </w:p>
        </w:tc>
        <w:tc>
          <w:tcPr>
            <w:tcW w:type="dxa" w:w="5040"/>
            <w:vAlign w:val="top"/>
          </w:tcPr>
          <w:p>
            <w:r>
              <w:t>Measure p50/p95/p99 from day one; no premature hard scale claim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</w:t>
            </w:r>
          </w:p>
        </w:tc>
        <w:tc>
          <w:tcPr>
            <w:tcW w:type="dxa" w:w="5040"/>
            <w:vAlign w:val="top"/>
          </w:tcPr>
          <w:p>
            <w:r>
              <w:t>TLS at ingress boundary, authenticated caller model, least privilege DB account, no secrets in source</w:t>
            </w:r>
          </w:p>
        </w:tc>
      </w:tr>
      <w:tr>
        <w:tc>
          <w:tcPr>
            <w:tcW w:type="dxa" w:w="5040"/>
            <w:vAlign w:val="top"/>
          </w:tcPr>
          <w:p>
            <w:r>
              <w:t>Observability</w:t>
            </w:r>
          </w:p>
        </w:tc>
        <w:tc>
          <w:tcPr>
            <w:tcW w:type="dxa" w:w="5040"/>
            <w:vAlign w:val="top"/>
          </w:tcPr>
          <w:p>
            <w:r>
              <w:t>Structured logs, correlation/trace ID, metrics, health/readiness</w:t>
            </w:r>
          </w:p>
        </w:tc>
      </w:tr>
      <w:tr>
        <w:tc>
          <w:tcPr>
            <w:tcW w:type="dxa" w:w="5040"/>
            <w:vAlign w:val="top"/>
          </w:tcPr>
          <w:p>
            <w:r>
              <w:t>Maintainability</w:t>
            </w:r>
          </w:p>
        </w:tc>
        <w:tc>
          <w:tcPr>
            <w:tcW w:type="dxa" w:w="5040"/>
            <w:vAlign w:val="top"/>
          </w:tcPr>
          <w:p>
            <w:r>
              <w:t>Domain-oriented modules; architecture rules enforced in CI</w:t>
            </w:r>
          </w:p>
        </w:tc>
      </w:tr>
      <w:tr>
        <w:tc>
          <w:tcPr>
            <w:tcW w:type="dxa" w:w="5040"/>
            <w:vAlign w:val="top"/>
          </w:tcPr>
          <w:p>
            <w:r>
              <w:t>Testability</w:t>
            </w:r>
          </w:p>
        </w:tc>
        <w:tc>
          <w:tcPr>
            <w:tcW w:type="dxa" w:w="5040"/>
            <w:vAlign w:val="top"/>
          </w:tcPr>
          <w:p>
            <w:r>
              <w:t>Unit, integration, concurrency and architecture tests</w:t>
            </w:r>
          </w:p>
        </w:tc>
      </w:tr>
    </w:tbl>
    <w:p>
      <w:pPr>
        <w:pStyle w:val="Heading1"/>
      </w:pPr>
      <w:r>
        <w:t>5. System Context and HLD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 xml:space="preserve">                         Customer / Client</w:t>
        <w:br/>
        <w:t xml:space="preserve">                                |</w:t>
        <w:br/>
        <w:t xml:space="preserve">                           HTTPS / REST</w:t>
        <w:br/>
        <w:t xml:space="preserve">                                |</w:t>
        <w:br/>
        <w:t xml:space="preserve">                                v</w:t>
        <w:br/>
        <w:t>+----------------------------------------------------------------+</w:t>
        <w:br/>
        <w:t>|              Order Platform - Spring Boot JVM                   |</w:t>
        <w:br/>
        <w:t>|                                                                |</w:t>
        <w:br/>
        <w:t>|  +----------+ +----------+ +------+ +-----------+ +---------+ |</w:t>
        <w:br/>
        <w:t>|  | Customer | | Catalog  | | Cart | | Inventory | | Payment | |</w:t>
        <w:br/>
        <w:t>|  +----------+ +----------+ +------+ +-----------+ +---------+ |</w:t>
        <w:br/>
        <w:t>|                         +-------------+                        |</w:t>
        <w:br/>
        <w:t>|                         |    Order    |                        |</w:t>
        <w:br/>
        <w:t>|                         +-------------+                        |</w:t>
        <w:br/>
        <w:t>|                                                                |</w:t>
        <w:br/>
        <w:t>|     DDD module boundaries + Hexagonal Ports &amp; Adapters         |</w:t>
        <w:br/>
        <w:t>+-------------------------------+--------------------------------+</w:t>
        <w:br/>
        <w:t xml:space="preserve">                                |</w:t>
        <w:br/>
        <w:t xml:space="preserve">                         JDBC/JPA transaction</w:t>
        <w:br/>
        <w:t xml:space="preserve">                                |</w:t>
        <w:br/>
        <w:t xml:space="preserve">                                v</w:t>
        <w:br/>
        <w:t xml:space="preserve">                         +-------------+</w:t>
        <w:br/>
        <w:t xml:space="preserve">                         | PostgreSQL  |</w:t>
        <w:br/>
        <w:t xml:space="preserve">                         | source truth|</w:t>
        <w:br/>
        <w:t xml:space="preserve">                         +-------------+</w:t>
      </w:r>
    </w:p>
    <w:p>
      <w:r>
        <w:t>The application is one deployable and one JVM. Module boundaries are logical and enforceable code boundaries, not network boundaries. Inter-module collaboration occurs through published application contracts/ports rather than direct access to another module's persistence implementation.</w:t>
      </w:r>
    </w:p>
    <w:p>
      <w:pPr>
        <w:pStyle w:val="Heading1"/>
      </w:pPr>
      <w:r>
        <w:t>6. Domain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Owns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Must not expose</w:t>
            </w:r>
          </w:p>
        </w:tc>
      </w:tr>
      <w:tr>
        <w:tc>
          <w:tcPr>
            <w:tcW w:type="dxa" w:w="3360"/>
            <w:vAlign w:val="top"/>
          </w:tcPr>
          <w:p>
            <w:r>
              <w:t>Catalog</w:t>
            </w:r>
          </w:p>
        </w:tc>
        <w:tc>
          <w:tcPr>
            <w:tcW w:type="dxa" w:w="3360"/>
            <w:vAlign w:val="top"/>
          </w:tcPr>
          <w:p>
            <w:r>
              <w:t>Product/SKU and product pricing reference</w:t>
            </w:r>
          </w:p>
        </w:tc>
        <w:tc>
          <w:tcPr>
            <w:tcW w:type="dxa" w:w="3360"/>
            <w:vAlign w:val="top"/>
          </w:tcPr>
          <w:p>
            <w:r>
              <w:t>JPA repository implementation</w:t>
            </w:r>
          </w:p>
        </w:tc>
      </w:tr>
      <w:tr>
        <w:tc>
          <w:tcPr>
            <w:tcW w:type="dxa" w:w="3360"/>
            <w:vAlign w:val="top"/>
          </w:tcPr>
          <w:p>
            <w:r>
              <w:t>Cart</w:t>
            </w:r>
          </w:p>
        </w:tc>
        <w:tc>
          <w:tcPr>
            <w:tcW w:type="dxa" w:w="3360"/>
            <w:vAlign w:val="top"/>
          </w:tcPr>
          <w:p>
            <w:r>
              <w:t>Cart and CartItem lifecycle</w:t>
            </w:r>
          </w:p>
        </w:tc>
        <w:tc>
          <w:tcPr>
            <w:tcW w:type="dxa" w:w="3360"/>
            <w:vAlign w:val="top"/>
          </w:tcPr>
          <w:p>
            <w:r>
              <w:t>Internal persistence entity</w:t>
            </w:r>
          </w:p>
        </w:tc>
      </w:tr>
      <w:tr>
        <w:tc>
          <w:tcPr>
            <w:tcW w:type="dxa" w:w="3360"/>
            <w:vAlign w:val="top"/>
          </w:tcPr>
          <w:p>
            <w:r>
              <w:t>Order</w:t>
            </w:r>
          </w:p>
        </w:tc>
        <w:tc>
          <w:tcPr>
            <w:tcW w:type="dxa" w:w="3360"/>
            <w:vAlign w:val="top"/>
          </w:tcPr>
          <w:p>
            <w:r>
              <w:t>Order aggregate, OrderItem, OrderStatus, ordering invariants</w:t>
            </w:r>
          </w:p>
        </w:tc>
        <w:tc>
          <w:tcPr>
            <w:tcW w:type="dxa" w:w="3360"/>
            <w:vAlign w:val="top"/>
          </w:tcPr>
          <w:p>
            <w:r>
              <w:t>Direct DB table manipulation</w:t>
            </w:r>
          </w:p>
        </w:tc>
      </w:tr>
      <w:tr>
        <w:tc>
          <w:tcPr>
            <w:tcW w:type="dxa" w:w="3360"/>
            <w:vAlign w:val="top"/>
          </w:tcPr>
          <w:p>
            <w:r>
              <w:t>Inventory</w:t>
            </w:r>
          </w:p>
        </w:tc>
        <w:tc>
          <w:tcPr>
            <w:tcW w:type="dxa" w:w="3360"/>
            <w:vAlign w:val="top"/>
          </w:tcPr>
          <w:p>
            <w:r>
              <w:t>Stock, reservation/release invariant</w:t>
            </w:r>
          </w:p>
        </w:tc>
        <w:tc>
          <w:tcPr>
            <w:tcW w:type="dxa" w:w="3360"/>
            <w:vAlign w:val="top"/>
          </w:tcPr>
          <w:p>
            <w:r>
              <w:t>InventoryJpaRepository to Order</w:t>
            </w:r>
          </w:p>
        </w:tc>
      </w:tr>
      <w:tr>
        <w:tc>
          <w:tcPr>
            <w:tcW w:type="dxa" w:w="3360"/>
            <w:vAlign w:val="top"/>
          </w:tcPr>
          <w:p>
            <w:r>
              <w:t>Payment</w:t>
            </w:r>
          </w:p>
        </w:tc>
        <w:tc>
          <w:tcPr>
            <w:tcW w:type="dxa" w:w="3360"/>
            <w:vAlign w:val="top"/>
          </w:tcPr>
          <w:p>
            <w:r>
              <w:t>Payment intent/authorization state</w:t>
            </w:r>
          </w:p>
        </w:tc>
        <w:tc>
          <w:tcPr>
            <w:tcW w:type="dxa" w:w="3360"/>
            <w:vAlign w:val="top"/>
          </w:tcPr>
          <w:p>
            <w:r>
              <w:t>Gateway/JPA implementation details</w:t>
            </w:r>
          </w:p>
        </w:tc>
      </w:tr>
      <w:tr>
        <w:tc>
          <w:tcPr>
            <w:tcW w:type="dxa" w:w="3360"/>
            <w:vAlign w:val="top"/>
          </w:tcPr>
          <w:p>
            <w:r>
              <w:t>Customer</w:t>
            </w:r>
          </w:p>
        </w:tc>
        <w:tc>
          <w:tcPr>
            <w:tcW w:type="dxa" w:w="3360"/>
            <w:vAlign w:val="top"/>
          </w:tcPr>
          <w:p>
            <w:r>
              <w:t>Customer reference/profile boundary</w:t>
            </w:r>
          </w:p>
        </w:tc>
        <w:tc>
          <w:tcPr>
            <w:tcW w:type="dxa" w:w="3360"/>
            <w:vAlign w:val="top"/>
          </w:tcPr>
          <w:p>
            <w:r>
              <w:t>Persistence internals</w:t>
            </w:r>
          </w:p>
        </w:tc>
      </w:tr>
    </w:tbl>
    <w:p>
      <w:pPr>
        <w:pStyle w:val="Heading1"/>
      </w:pPr>
      <w:r>
        <w:t>7. Hexagonal Structure per Module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order/</w:t>
        <w:br/>
        <w:t xml:space="preserve">  domain/</w:t>
        <w:br/>
        <w:t xml:space="preserve">    Order.java</w:t>
        <w:br/>
        <w:t xml:space="preserve">    OrderItem.java</w:t>
        <w:br/>
        <w:t xml:space="preserve">    OrderId.java</w:t>
        <w:br/>
        <w:t xml:space="preserve">    OrderStatus.java</w:t>
        <w:br/>
        <w:t xml:space="preserve">    Money.java</w:t>
        <w:br/>
        <w:t xml:space="preserve">  application/</w:t>
        <w:br/>
        <w:t xml:space="preserve">    PlaceOrderService.java</w:t>
        <w:br/>
        <w:t xml:space="preserve">    CancelOrderService.java</w:t>
        <w:br/>
        <w:t xml:space="preserve">    GetOrderService.java</w:t>
        <w:br/>
        <w:t xml:space="preserve">  port/</w:t>
        <w:br/>
        <w:t xml:space="preserve">    in/</w:t>
        <w:br/>
        <w:t xml:space="preserve">      PlaceOrderUseCase.java</w:t>
        <w:br/>
        <w:t xml:space="preserve">      CancelOrderUseCase.java</w:t>
        <w:br/>
        <w:t xml:space="preserve">    out/</w:t>
        <w:br/>
        <w:t xml:space="preserve">      OrderRepository.java</w:t>
        <w:br/>
        <w:t xml:space="preserve">      InventoryPort.java</w:t>
        <w:br/>
        <w:t xml:space="preserve">      PaymentPort.java</w:t>
        <w:br/>
        <w:t xml:space="preserve">  adapter/</w:t>
        <w:br/>
        <w:t xml:space="preserve">    in/rest/</w:t>
        <w:br/>
        <w:t xml:space="preserve">      OrderController.java</w:t>
        <w:br/>
        <w:t xml:space="preserve">      OrderRequest.java</w:t>
        <w:br/>
        <w:t xml:space="preserve">      OrderResponse.java</w:t>
        <w:br/>
        <w:t xml:space="preserve">    out/persistence/</w:t>
        <w:br/>
        <w:t xml:space="preserve">      JpaOrderRepositoryAdapter.java</w:t>
        <w:br/>
        <w:t xml:space="preserve">      OrderJpaEntity.java</w:t>
      </w:r>
    </w:p>
    <w:p>
      <w:r>
        <w:t>Dependency rule: adapters depend on application/domain contracts; the domain must not depend on Spring MVC, JPA, PostgreSQL, Kafka, Redis, or external payment SDKs. Framework annotations should be kept out of core domain objects where practical.</w:t>
      </w:r>
    </w:p>
    <w:p>
      <w:pPr>
        <w:pStyle w:val="Heading1"/>
      </w:pPr>
      <w:r>
        <w:t>8. Core Order Flow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POST /orders  [Idempotency-Key]</w:t>
        <w:br/>
        <w:t xml:space="preserve">      |</w:t>
        <w:br/>
        <w:t xml:space="preserve">      v</w:t>
        <w:br/>
        <w:t>OrderController</w:t>
        <w:br/>
        <w:t xml:space="preserve">      |</w:t>
        <w:br/>
        <w:t xml:space="preserve">      v</w:t>
        <w:br/>
        <w:t>PlaceOrderUseCase</w:t>
        <w:br/>
        <w:t xml:space="preserve">      |</w:t>
        <w:br/>
        <w:t xml:space="preserve">      +--&gt; validate customer/cart/product references</w:t>
        <w:br/>
        <w:t xml:space="preserve">      |</w:t>
        <w:br/>
        <w:t xml:space="preserve">      +--&gt; InventoryPort.reserve(product, qty)</w:t>
        <w:br/>
        <w:t xml:space="preserve">      |</w:t>
        <w:br/>
        <w:t xml:space="preserve">      +--&gt; PaymentPort.authorize(payment request)</w:t>
        <w:br/>
        <w:t xml:space="preserve">      |</w:t>
        <w:br/>
        <w:t xml:space="preserve">      +--&gt; Order.place(...)</w:t>
        <w:br/>
        <w:t xml:space="preserve">      |</w:t>
        <w:br/>
        <w:t xml:space="preserve">      +--&gt; OrderRepository.save(order)</w:t>
        <w:br/>
        <w:t xml:space="preserve">      |</w:t>
        <w:br/>
        <w:t xml:space="preserve">      v</w:t>
        <w:br/>
        <w:t>COMMIT PostgreSQL transaction</w:t>
        <w:br/>
        <w:t xml:space="preserve">      |</w:t>
        <w:br/>
        <w:t xml:space="preserve">      v</w:t>
        <w:br/>
        <w:t>201 Created / existing idempotent response</w:t>
      </w:r>
    </w:p>
    <w:p>
      <w:r>
        <w:t>For Phase 1, the order workflow is kept within a local ACID boundary where feasible. The LLD must make explicit which payment behavior is simulated/local versus an irreversible external side effect; an external PSP must not be casually placed inside a database transaction and assumed rollback-safe.</w:t>
      </w:r>
    </w:p>
    <w:p>
      <w:pPr>
        <w:pStyle w:val="Heading1"/>
      </w:pPr>
      <w:r>
        <w:t>9. Transaction and Consistency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t>Order creation</w:t>
            </w:r>
          </w:p>
        </w:tc>
        <w:tc>
          <w:tcPr>
            <w:tcW w:type="dxa" w:w="5040"/>
            <w:vAlign w:val="top"/>
          </w:tcPr>
          <w:p>
            <w:r>
              <w:t>Application service defines transaction boundary</w:t>
            </w:r>
          </w:p>
        </w:tc>
      </w:tr>
      <w:tr>
        <w:tc>
          <w:tcPr>
            <w:tcW w:type="dxa" w:w="5040"/>
            <w:vAlign w:val="top"/>
          </w:tcPr>
          <w:p>
            <w:r>
              <w:t>Inventory reservation</w:t>
            </w:r>
          </w:p>
        </w:tc>
        <w:tc>
          <w:tcPr>
            <w:tcW w:type="dxa" w:w="5040"/>
            <w:vAlign w:val="top"/>
          </w:tcPr>
          <w:p>
            <w:r>
              <w:t>Atomic conditional update or optimistic version check; quantity must never fall below zero</w:t>
            </w:r>
          </w:p>
        </w:tc>
      </w:tr>
      <w:tr>
        <w:tc>
          <w:tcPr>
            <w:tcW w:type="dxa" w:w="5040"/>
            <w:vAlign w:val="top"/>
          </w:tcPr>
          <w:p>
            <w:r>
              <w:t>Idempotency</w:t>
            </w:r>
          </w:p>
        </w:tc>
        <w:tc>
          <w:tcPr>
            <w:tcW w:type="dxa" w:w="5040"/>
            <w:vAlign w:val="top"/>
          </w:tcPr>
          <w:p>
            <w:r>
              <w:t>Persist idempotency key + request fingerprint/result; UNIQUE constraint is authoritative</w:t>
            </w:r>
          </w:p>
        </w:tc>
      </w:tr>
      <w:tr>
        <w:tc>
          <w:tcPr>
            <w:tcW w:type="dxa" w:w="5040"/>
            <w:vAlign w:val="top"/>
          </w:tcPr>
          <w:p>
            <w:r>
              <w:t>Money</w:t>
            </w:r>
          </w:p>
        </w:tc>
        <w:tc>
          <w:tcPr>
            <w:tcW w:type="dxa" w:w="5040"/>
            <w:vAlign w:val="top"/>
          </w:tcPr>
          <w:p>
            <w:r>
              <w:t>Use decimal/BigDecimal semantics with explicit currency and rounding policy</w:t>
            </w:r>
          </w:p>
        </w:tc>
      </w:tr>
      <w:tr>
        <w:tc>
          <w:tcPr>
            <w:tcW w:type="dxa" w:w="5040"/>
            <w:vAlign w:val="top"/>
          </w:tcPr>
          <w:p>
            <w:r>
              <w:t>Identifiers</w:t>
            </w:r>
          </w:p>
        </w:tc>
        <w:tc>
          <w:tcPr>
            <w:tcW w:type="dxa" w:w="5040"/>
            <w:vAlign w:val="top"/>
          </w:tcPr>
          <w:p>
            <w:r>
              <w:t>Opaque immutable IDs; UUID/UUIDv7 acceptable implementation choice</w:t>
            </w:r>
          </w:p>
        </w:tc>
      </w:tr>
      <w:tr>
        <w:tc>
          <w:tcPr>
            <w:tcW w:type="dxa" w:w="5040"/>
            <w:vAlign w:val="top"/>
          </w:tcPr>
          <w:p>
            <w:r>
              <w:t>Audit</w:t>
            </w:r>
          </w:p>
        </w:tc>
        <w:tc>
          <w:tcPr>
            <w:tcW w:type="dxa" w:w="5040"/>
            <w:vAlign w:val="top"/>
          </w:tcPr>
          <w:p>
            <w:r>
              <w:t>created_at, updated_at and actor/correlation metadata where required</w:t>
            </w:r>
          </w:p>
        </w:tc>
      </w:tr>
      <w:tr>
        <w:tc>
          <w:tcPr>
            <w:tcW w:type="dxa" w:w="5040"/>
            <w:vAlign w:val="top"/>
          </w:tcPr>
          <w:p>
            <w:r>
              <w:t>Failure</w:t>
            </w:r>
          </w:p>
        </w:tc>
        <w:tc>
          <w:tcPr>
            <w:tcW w:type="dxa" w:w="5040"/>
            <w:vAlign w:val="top"/>
          </w:tcPr>
          <w:p>
            <w:r>
              <w:t>Transaction rollback for local state; map domain/application errors to stable API error contract</w:t>
            </w:r>
          </w:p>
        </w:tc>
      </w:tr>
    </w:tbl>
    <w:p>
      <w:pPr>
        <w:pStyle w:val="Heading1"/>
      </w:pPr>
      <w:r>
        <w:t>10. Inventory Concurrency LLD</w:t>
      </w:r>
    </w:p>
    <w:p>
      <w:r>
        <w:t>The database, not a Java in-memory check, provides the authoritative concurrency guarantee.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UPDATE inventory</w:t>
        <w:br/>
        <w:t>SET available_quantity = available_quantity - :qty,</w:t>
        <w:br/>
        <w:t xml:space="preserve">    version = version + 1</w:t>
        <w:br/>
        <w:t>WHERE product_id = :productId</w:t>
        <w:br/>
        <w:t xml:space="preserve">  AND available_quantity &gt;= :qty</w:t>
        <w:br/>
        <w:t xml:space="preserve">  AND version = :expectedVersion;</w:t>
      </w:r>
    </w:p>
    <w:p>
      <w:r>
        <w:t>An affected-row count of zero means insufficient stock or a concurrent modification. The application may retry a bounded number of times only for concurrency conflicts; business insufficiency is not retried blindly.</w:t>
      </w:r>
    </w:p>
    <w:p>
      <w:pPr>
        <w:pStyle w:val="Heading1"/>
      </w:pPr>
      <w:r>
        <w:t>11. API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/api/v1/products/{id}</w:t>
            </w:r>
          </w:p>
        </w:tc>
        <w:tc>
          <w:tcPr>
            <w:tcW w:type="dxa" w:w="3360"/>
            <w:vAlign w:val="top"/>
          </w:tcPr>
          <w:p>
            <w:r>
              <w:t>Get product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/api/v1/carts</w:t>
            </w:r>
          </w:p>
        </w:tc>
        <w:tc>
          <w:tcPr>
            <w:tcW w:type="dxa" w:w="3360"/>
            <w:vAlign w:val="top"/>
          </w:tcPr>
          <w:p>
            <w:r>
              <w:t>Create cart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/api/v1/carts/{id}/items</w:t>
            </w:r>
          </w:p>
        </w:tc>
        <w:tc>
          <w:tcPr>
            <w:tcW w:type="dxa" w:w="3360"/>
            <w:vAlign w:val="top"/>
          </w:tcPr>
          <w:p>
            <w:r>
              <w:t>Add/update cart item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/api/v1/orders</w:t>
            </w:r>
          </w:p>
        </w:tc>
        <w:tc>
          <w:tcPr>
            <w:tcW w:type="dxa" w:w="3360"/>
            <w:vAlign w:val="top"/>
          </w:tcPr>
          <w:p>
            <w:r>
              <w:t>Place order; requires Idempotency-Key</w:t>
            </w:r>
          </w:p>
        </w:tc>
      </w:tr>
      <w:tr>
        <w:tc>
          <w:tcPr>
            <w:tcW w:type="dxa" w:w="3360"/>
            <w:vAlign w:val="top"/>
          </w:tcPr>
          <w:p>
            <w:r>
              <w:t>GET</w:t>
            </w:r>
          </w:p>
        </w:tc>
        <w:tc>
          <w:tcPr>
            <w:tcW w:type="dxa" w:w="3360"/>
            <w:vAlign w:val="top"/>
          </w:tcPr>
          <w:p>
            <w:r>
              <w:t>/api/v1/orders/{id}</w:t>
            </w:r>
          </w:p>
        </w:tc>
        <w:tc>
          <w:tcPr>
            <w:tcW w:type="dxa" w:w="3360"/>
            <w:vAlign w:val="top"/>
          </w:tcPr>
          <w:p>
            <w:r>
              <w:t>Retrieve order</w:t>
            </w:r>
          </w:p>
        </w:tc>
      </w:tr>
      <w:tr>
        <w:tc>
          <w:tcPr>
            <w:tcW w:type="dxa" w:w="3360"/>
            <w:vAlign w:val="top"/>
          </w:tcPr>
          <w:p>
            <w:r>
              <w:t>POST</w:t>
            </w:r>
          </w:p>
        </w:tc>
        <w:tc>
          <w:tcPr>
            <w:tcW w:type="dxa" w:w="3360"/>
            <w:vAlign w:val="top"/>
          </w:tcPr>
          <w:p>
            <w:r>
              <w:t>/api/v1/orders/{id}/cancel</w:t>
            </w:r>
          </w:p>
        </w:tc>
        <w:tc>
          <w:tcPr>
            <w:tcW w:type="dxa" w:w="3360"/>
            <w:vAlign w:val="top"/>
          </w:tcPr>
          <w:p>
            <w:r>
              <w:t>Cancel eligible order</w:t>
            </w:r>
          </w:p>
        </w:tc>
      </w:tr>
    </w:tbl>
    <w:p>
      <w:r>
        <w:t>Error responses use a stable machine-readable shape: code, message, correlationId, fieldErrors (when applicable), timestamp.</w:t>
      </w:r>
    </w:p>
    <w:p>
      <w:pPr>
        <w:pStyle w:val="Heading1"/>
      </w:pPr>
      <w:r>
        <w:t>12. Data Model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Key fields / constraints</w:t>
            </w:r>
          </w:p>
        </w:tc>
      </w:tr>
      <w:tr>
        <w:tc>
          <w:tcPr>
            <w:tcW w:type="dxa" w:w="5040"/>
            <w:vAlign w:val="top"/>
          </w:tcPr>
          <w:p>
            <w:r>
              <w:t>customer</w:t>
            </w:r>
          </w:p>
        </w:tc>
        <w:tc>
          <w:tcPr>
            <w:tcW w:type="dxa" w:w="5040"/>
            <w:vAlign w:val="top"/>
          </w:tcPr>
          <w:p>
            <w:r>
              <w:t>customer_id PK, status, audit fields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</w:t>
            </w:r>
          </w:p>
        </w:tc>
        <w:tc>
          <w:tcPr>
            <w:tcW w:type="dxa" w:w="5040"/>
            <w:vAlign w:val="top"/>
          </w:tcPr>
          <w:p>
            <w:r>
              <w:t>product_id PK, sku UNIQUE, name, price_amount, currency, status</w:t>
            </w:r>
          </w:p>
        </w:tc>
      </w:tr>
      <w:tr>
        <w:tc>
          <w:tcPr>
            <w:tcW w:type="dxa" w:w="5040"/>
            <w:vAlign w:val="top"/>
          </w:tcPr>
          <w:p>
            <w:r>
              <w:t>cart</w:t>
            </w:r>
          </w:p>
        </w:tc>
        <w:tc>
          <w:tcPr>
            <w:tcW w:type="dxa" w:w="5040"/>
            <w:vAlign w:val="top"/>
          </w:tcPr>
          <w:p>
            <w:r>
              <w:t>cart_id PK, customer_id, status, version</w:t>
            </w:r>
          </w:p>
        </w:tc>
      </w:tr>
      <w:tr>
        <w:tc>
          <w:tcPr>
            <w:tcW w:type="dxa" w:w="5040"/>
            <w:vAlign w:val="top"/>
          </w:tcPr>
          <w:p>
            <w:r>
              <w:t>cart_item</w:t>
            </w:r>
          </w:p>
        </w:tc>
        <w:tc>
          <w:tcPr>
            <w:tcW w:type="dxa" w:w="5040"/>
            <w:vAlign w:val="top"/>
          </w:tcPr>
          <w:p>
            <w:r>
              <w:t>cart_id + product_id, quantity, captured/reference price as decided</w:t>
            </w:r>
          </w:p>
        </w:tc>
      </w:tr>
      <w:tr>
        <w:tc>
          <w:tcPr>
            <w:tcW w:type="dxa" w:w="5040"/>
            <w:vAlign w:val="top"/>
          </w:tcPr>
          <w:p>
            <w:r>
              <w:t>orders</w:t>
            </w:r>
          </w:p>
        </w:tc>
        <w:tc>
          <w:tcPr>
            <w:tcW w:type="dxa" w:w="5040"/>
            <w:vAlign w:val="top"/>
          </w:tcPr>
          <w:p>
            <w:r>
              <w:t>order_id PK, customer_id, status, total_amount, currency, version, idempotency_key UNIQUE</w:t>
            </w:r>
          </w:p>
        </w:tc>
      </w:tr>
      <w:tr>
        <w:tc>
          <w:tcPr>
            <w:tcW w:type="dxa" w:w="5040"/>
            <w:vAlign w:val="top"/>
          </w:tcPr>
          <w:p>
            <w:r>
              <w:t>order_item</w:t>
            </w:r>
          </w:p>
        </w:tc>
        <w:tc>
          <w:tcPr>
            <w:tcW w:type="dxa" w:w="5040"/>
            <w:vAlign w:val="top"/>
          </w:tcPr>
          <w:p>
            <w:r>
              <w:t>order_id + line_id, product_id, quantity, unit_price</w:t>
            </w:r>
          </w:p>
        </w:tc>
      </w:tr>
      <w:tr>
        <w:tc>
          <w:tcPr>
            <w:tcW w:type="dxa" w:w="5040"/>
            <w:vAlign w:val="top"/>
          </w:tcPr>
          <w:p>
            <w:r>
              <w:t>inventory</w:t>
            </w:r>
          </w:p>
        </w:tc>
        <w:tc>
          <w:tcPr>
            <w:tcW w:type="dxa" w:w="5040"/>
            <w:vAlign w:val="top"/>
          </w:tcPr>
          <w:p>
            <w:r>
              <w:t>product_id PK, available_quantity CHECK &gt;= 0, version</w:t>
            </w:r>
          </w:p>
        </w:tc>
      </w:tr>
      <w:tr>
        <w:tc>
          <w:tcPr>
            <w:tcW w:type="dxa" w:w="5040"/>
            <w:vAlign w:val="top"/>
          </w:tcPr>
          <w:p>
            <w:r>
              <w:t>inventory_reservation</w:t>
            </w:r>
          </w:p>
        </w:tc>
        <w:tc>
          <w:tcPr>
            <w:tcW w:type="dxa" w:w="5040"/>
            <w:vAlign w:val="top"/>
          </w:tcPr>
          <w:p>
            <w:r>
              <w:t>reservation_id PK, order_id, product_id, quantity, status</w:t>
            </w:r>
          </w:p>
        </w:tc>
      </w:tr>
      <w:tr>
        <w:tc>
          <w:tcPr>
            <w:tcW w:type="dxa" w:w="5040"/>
            <w:vAlign w:val="top"/>
          </w:tcPr>
          <w:p>
            <w:r>
              <w:t>payment</w:t>
            </w:r>
          </w:p>
        </w:tc>
        <w:tc>
          <w:tcPr>
            <w:tcW w:type="dxa" w:w="5040"/>
            <w:vAlign w:val="top"/>
          </w:tcPr>
          <w:p>
            <w:r>
              <w:t>payment_id PK, order_id, status, amount, currency, idempotency_key UNIQUE</w:t>
            </w:r>
          </w:p>
        </w:tc>
      </w:tr>
    </w:tbl>
    <w:p>
      <w:r>
        <w:t>Schema ownership is logical in Phase 1. A single PostgreSQL instance/database is acceptable, but modules should avoid cross-module table access except through explicitly documented contracts. This keeps later extraction feasible.</w:t>
      </w:r>
    </w:p>
    <w:p>
      <w:pPr>
        <w:pStyle w:val="Heading1"/>
      </w:pPr>
      <w:r>
        <w:t>13. Package / Repository Layout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system-design-lab/</w:t>
        <w:br/>
        <w:t xml:space="preserve">  docs/</w:t>
        <w:br/>
        <w:t xml:space="preserve">    architecture/</w:t>
        <w:br/>
        <w:t xml:space="preserve">      phase-1-hld.md</w:t>
        <w:br/>
        <w:t xml:space="preserve">      phase-1-lld.md</w:t>
        <w:br/>
        <w:t xml:space="preserve">    adr/</w:t>
        <w:br/>
        <w:t xml:space="preserve">  application/</w:t>
        <w:br/>
        <w:t xml:space="preserve">    src/main/java/.../</w:t>
        <w:br/>
        <w:t xml:space="preserve">      customer/</w:t>
        <w:br/>
        <w:t xml:space="preserve">      catalog/</w:t>
        <w:br/>
        <w:t xml:space="preserve">      cart/</w:t>
        <w:br/>
        <w:t xml:space="preserve">      order/</w:t>
        <w:br/>
        <w:t xml:space="preserve">      inventory/</w:t>
        <w:br/>
        <w:t xml:space="preserve">      payment/</w:t>
        <w:br/>
        <w:t xml:space="preserve">    src/test/</w:t>
        <w:br/>
        <w:t xml:space="preserve">  database/</w:t>
        <w:br/>
        <w:t xml:space="preserve">    migrations/</w:t>
        <w:br/>
        <w:t xml:space="preserve">  docker/</w:t>
        <w:br/>
        <w:t xml:space="preserve">  build.gradle</w:t>
        <w:br/>
        <w:t xml:space="preserve">  README.md</w:t>
      </w:r>
    </w:p>
    <w:p>
      <w:pPr>
        <w:pStyle w:val="Heading1"/>
      </w:pPr>
      <w:r>
        <w:t>14. Architecture Fitness Functions</w:t>
      </w:r>
    </w:p>
    <w:p>
      <w:r>
        <w:t>Architecture is executable policy, not only documentation. CI should fail when module/dependency rules are violated.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Example enforcement</w:t>
            </w:r>
          </w:p>
        </w:tc>
      </w:tr>
      <w:tr>
        <w:tc>
          <w:tcPr>
            <w:tcW w:type="dxa" w:w="5040"/>
            <w:vAlign w:val="top"/>
          </w:tcPr>
          <w:p>
            <w:r>
              <w:t>Domain does not depend on adapters/frameworks</w:t>
            </w:r>
          </w:p>
        </w:tc>
        <w:tc>
          <w:tcPr>
            <w:tcW w:type="dxa" w:w="5040"/>
            <w:vAlign w:val="top"/>
          </w:tcPr>
          <w:p>
            <w:r>
              <w:t>ArchUnit package dependency rule</w:t>
            </w:r>
          </w:p>
        </w:tc>
      </w:tr>
      <w:tr>
        <w:tc>
          <w:tcPr>
            <w:tcW w:type="dxa" w:w="5040"/>
            <w:vAlign w:val="top"/>
          </w:tcPr>
          <w:p>
            <w:r>
              <w:t>Order cannot access Inventory persistence adapter</w:t>
            </w:r>
          </w:p>
        </w:tc>
        <w:tc>
          <w:tcPr>
            <w:tcW w:type="dxa" w:w="5040"/>
            <w:vAlign w:val="top"/>
          </w:tcPr>
          <w:p>
            <w:r>
              <w:t>ArchUnit forbidden dependency</w:t>
            </w:r>
          </w:p>
        </w:tc>
      </w:tr>
      <w:tr>
        <w:tc>
          <w:tcPr>
            <w:tcW w:type="dxa" w:w="5040"/>
            <w:vAlign w:val="top"/>
          </w:tcPr>
          <w:p>
            <w:r>
              <w:t>Controllers call input ports/application services</w:t>
            </w:r>
          </w:p>
        </w:tc>
        <w:tc>
          <w:tcPr>
            <w:tcW w:type="dxa" w:w="5040"/>
            <w:vAlign w:val="top"/>
          </w:tcPr>
          <w:p>
            <w:r>
              <w:t>Architecture test</w:t>
            </w:r>
          </w:p>
        </w:tc>
      </w:tr>
      <w:tr>
        <w:tc>
          <w:tcPr>
            <w:tcW w:type="dxa" w:w="5040"/>
            <w:vAlign w:val="top"/>
          </w:tcPr>
          <w:p>
            <w:r>
              <w:t>Adapters implement declared output ports</w:t>
            </w:r>
          </w:p>
        </w:tc>
        <w:tc>
          <w:tcPr>
            <w:tcW w:type="dxa" w:w="5040"/>
            <w:vAlign w:val="top"/>
          </w:tcPr>
          <w:p>
            <w:r>
              <w:t>Type/architecture test</w:t>
            </w:r>
          </w:p>
        </w:tc>
      </w:tr>
      <w:tr>
        <w:tc>
          <w:tcPr>
            <w:tcW w:type="dxa" w:w="5040"/>
            <w:vAlign w:val="top"/>
          </w:tcPr>
          <w:p>
            <w:r>
              <w:t>No cyclic module dependency</w:t>
            </w:r>
          </w:p>
        </w:tc>
        <w:tc>
          <w:tcPr>
            <w:tcW w:type="dxa" w:w="5040"/>
            <w:vAlign w:val="top"/>
          </w:tcPr>
          <w:p>
            <w:r>
              <w:t>ArchUnit cycle check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 migrations are versioned</w:t>
            </w:r>
          </w:p>
        </w:tc>
        <w:tc>
          <w:tcPr>
            <w:tcW w:type="dxa" w:w="5040"/>
            <w:vAlign w:val="top"/>
          </w:tcPr>
          <w:p>
            <w:r>
              <w:t>Flyway validation in integration test</w:t>
            </w:r>
          </w:p>
        </w:tc>
      </w:tr>
    </w:tbl>
    <w:p>
      <w:pPr>
        <w:pStyle w:val="Heading1"/>
      </w:pPr>
      <w:r>
        <w:t>15. Observability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Phase-1 implementation</w:t>
            </w:r>
          </w:p>
        </w:tc>
      </w:tr>
      <w:tr>
        <w:tc>
          <w:tcPr>
            <w:tcW w:type="dxa" w:w="5040"/>
            <w:vAlign w:val="top"/>
          </w:tcPr>
          <w:p>
            <w:r>
              <w:t>Logs</w:t>
            </w:r>
          </w:p>
        </w:tc>
        <w:tc>
          <w:tcPr>
            <w:tcW w:type="dxa" w:w="5040"/>
            <w:vAlign w:val="top"/>
          </w:tcPr>
          <w:p>
            <w:r>
              <w:t>Structured application logs with correlationId/orderId where safe</w:t>
            </w:r>
          </w:p>
        </w:tc>
      </w:tr>
      <w:tr>
        <w:tc>
          <w:tcPr>
            <w:tcW w:type="dxa" w:w="5040"/>
            <w:vAlign w:val="top"/>
          </w:tcPr>
          <w:p>
            <w:r>
              <w:t>Metrics</w:t>
            </w:r>
          </w:p>
        </w:tc>
        <w:tc>
          <w:tcPr>
            <w:tcW w:type="dxa" w:w="5040"/>
            <w:vAlign w:val="top"/>
          </w:tcPr>
          <w:p>
            <w:r>
              <w:t>HTTP request rate, errors, latency; DB pool; order/payment domain counters</w:t>
            </w:r>
          </w:p>
        </w:tc>
      </w:tr>
      <w:tr>
        <w:tc>
          <w:tcPr>
            <w:tcW w:type="dxa" w:w="5040"/>
            <w:vAlign w:val="top"/>
          </w:tcPr>
          <w:p>
            <w:r>
              <w:t>Tracing</w:t>
            </w:r>
          </w:p>
        </w:tc>
        <w:tc>
          <w:tcPr>
            <w:tcW w:type="dxa" w:w="5040"/>
            <w:vAlign w:val="top"/>
          </w:tcPr>
          <w:p>
            <w:r>
              <w:t>Trace/correlation ID propagated across request and internal use-case execution</w:t>
            </w:r>
          </w:p>
        </w:tc>
      </w:tr>
      <w:tr>
        <w:tc>
          <w:tcPr>
            <w:tcW w:type="dxa" w:w="5040"/>
            <w:vAlign w:val="top"/>
          </w:tcPr>
          <w:p>
            <w:r>
              <w:t>Health</w:t>
            </w:r>
          </w:p>
        </w:tc>
        <w:tc>
          <w:tcPr>
            <w:tcW w:type="dxa" w:w="5040"/>
            <w:vAlign w:val="top"/>
          </w:tcPr>
          <w:p>
            <w:r>
              <w:t>Liveness/readiness plus DB dependency health</w:t>
            </w:r>
          </w:p>
        </w:tc>
      </w:tr>
      <w:tr>
        <w:tc>
          <w:tcPr>
            <w:tcW w:type="dxa" w:w="5040"/>
            <w:vAlign w:val="top"/>
          </w:tcPr>
          <w:p>
            <w:r>
              <w:t>SLO preparation</w:t>
            </w:r>
          </w:p>
        </w:tc>
        <w:tc>
          <w:tcPr>
            <w:tcW w:type="dxa" w:w="5040"/>
            <w:vAlign w:val="top"/>
          </w:tcPr>
          <w:p>
            <w:r>
              <w:t>Capture p50/p95/p99 and error rate before later scaling decisions</w:t>
            </w:r>
          </w:p>
        </w:tc>
      </w:tr>
    </w:tbl>
    <w:p>
      <w:pPr>
        <w:pStyle w:val="Heading1"/>
      </w:pPr>
      <w:r>
        <w:t>16.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Domain unit tests</w:t>
            </w:r>
          </w:p>
        </w:tc>
        <w:tc>
          <w:tcPr>
            <w:tcW w:type="dxa" w:w="5040"/>
            <w:vAlign w:val="top"/>
          </w:tcPr>
          <w:p>
            <w:r>
              <w:t>Invariants and state transitions without Spring</w:t>
            </w:r>
          </w:p>
        </w:tc>
      </w:tr>
      <w:tr>
        <w:tc>
          <w:tcPr>
            <w:tcW w:type="dxa" w:w="5040"/>
            <w:vAlign w:val="top"/>
          </w:tcPr>
          <w:p>
            <w:r>
              <w:t>Application tests</w:t>
            </w:r>
          </w:p>
        </w:tc>
        <w:tc>
          <w:tcPr>
            <w:tcW w:type="dxa" w:w="5040"/>
            <w:vAlign w:val="top"/>
          </w:tcPr>
          <w:p>
            <w:r>
              <w:t>Use-case orchestration with fake/mock ports</w:t>
            </w:r>
          </w:p>
        </w:tc>
      </w:tr>
      <w:tr>
        <w:tc>
          <w:tcPr>
            <w:tcW w:type="dxa" w:w="5040"/>
            <w:vAlign w:val="top"/>
          </w:tcPr>
          <w:p>
            <w:r>
              <w:t>Repository integration</w:t>
            </w:r>
          </w:p>
        </w:tc>
        <w:tc>
          <w:tcPr>
            <w:tcW w:type="dxa" w:w="5040"/>
            <w:vAlign w:val="top"/>
          </w:tcPr>
          <w:p>
            <w:r>
              <w:t>Real PostgreSQL via Testcontainers</w:t>
            </w:r>
          </w:p>
        </w:tc>
      </w:tr>
      <w:tr>
        <w:tc>
          <w:tcPr>
            <w:tcW w:type="dxa" w:w="5040"/>
            <w:vAlign w:val="top"/>
          </w:tcPr>
          <w:p>
            <w:r>
              <w:t>API integration</w:t>
            </w:r>
          </w:p>
        </w:tc>
        <w:tc>
          <w:tcPr>
            <w:tcW w:type="dxa" w:w="5040"/>
            <w:vAlign w:val="top"/>
          </w:tcPr>
          <w:p>
            <w:r>
              <w:t>HTTP contract + validation + error mapping</w:t>
            </w:r>
          </w:p>
        </w:tc>
      </w:tr>
      <w:tr>
        <w:tc>
          <w:tcPr>
            <w:tcW w:type="dxa" w:w="5040"/>
            <w:vAlign w:val="top"/>
          </w:tcPr>
          <w:p>
            <w:r>
              <w:t>Concurrency tests</w:t>
            </w:r>
          </w:p>
        </w:tc>
        <w:tc>
          <w:tcPr>
            <w:tcW w:type="dxa" w:w="5040"/>
            <w:vAlign w:val="top"/>
          </w:tcPr>
          <w:p>
            <w:r>
              <w:t>Competing inventory reservations cannot oversell</w:t>
            </w:r>
          </w:p>
        </w:tc>
      </w:tr>
      <w:tr>
        <w:tc>
          <w:tcPr>
            <w:tcW w:type="dxa" w:w="5040"/>
            <w:vAlign w:val="top"/>
          </w:tcPr>
          <w:p>
            <w:r>
              <w:t>Idempotency tests</w:t>
            </w:r>
          </w:p>
        </w:tc>
        <w:tc>
          <w:tcPr>
            <w:tcW w:type="dxa" w:w="5040"/>
            <w:vAlign w:val="top"/>
          </w:tcPr>
          <w:p>
            <w:r>
              <w:t>Retries return same logical result and do not duplicate side effects</w:t>
            </w:r>
          </w:p>
        </w:tc>
      </w:tr>
      <w:tr>
        <w:tc>
          <w:tcPr>
            <w:tcW w:type="dxa" w:w="5040"/>
            <w:vAlign w:val="top"/>
          </w:tcPr>
          <w:p>
            <w:r>
              <w:t>Architecture tests</w:t>
            </w:r>
          </w:p>
        </w:tc>
        <w:tc>
          <w:tcPr>
            <w:tcW w:type="dxa" w:w="5040"/>
            <w:vAlign w:val="top"/>
          </w:tcPr>
          <w:p>
            <w:r>
              <w:t>Module/dependency rules</w:t>
            </w:r>
          </w:p>
        </w:tc>
      </w:tr>
      <w:tr>
        <w:tc>
          <w:tcPr>
            <w:tcW w:type="dxa" w:w="5040"/>
            <w:vAlign w:val="top"/>
          </w:tcPr>
          <w:p>
            <w:r>
              <w:t>Migration tests</w:t>
            </w:r>
          </w:p>
        </w:tc>
        <w:tc>
          <w:tcPr>
            <w:tcW w:type="dxa" w:w="5040"/>
            <w:vAlign w:val="top"/>
          </w:tcPr>
          <w:p>
            <w:r>
              <w:t>Flyway schema can build from zero</w:t>
            </w:r>
          </w:p>
        </w:tc>
      </w:tr>
    </w:tbl>
    <w:p>
      <w:pPr>
        <w:pStyle w:val="Heading1"/>
      </w:pPr>
      <w:r>
        <w:t>17. Security Baseline</w:t>
      </w:r>
    </w:p>
    <w:p>
      <w:r>
        <w:t>Phase 1 defines the security boundary even if identity-provider integration is staged. Use authenticated principals, role/permission checks at application boundaries, TLS outside local development, parameterized persistence, input validation, secret injection via environment/secret store, and log redaction for credentials/payment-sensitive data.</w:t>
      </w:r>
    </w:p>
    <w:p>
      <w:pPr>
        <w:pStyle w:val="Heading1"/>
      </w:pPr>
      <w:r>
        <w:t>18. Phase-1 ADR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520"/>
            <w:vAlign w:val="top"/>
          </w:tcPr>
          <w:p>
            <w:r>
              <w:t>ADR-001</w:t>
            </w:r>
          </w:p>
        </w:tc>
        <w:tc>
          <w:tcPr>
            <w:tcW w:type="dxa" w:w="2520"/>
            <w:vAlign w:val="top"/>
          </w:tcPr>
          <w:p>
            <w:r>
              <w:t>Adopt Modular Monolith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One deployable with enforceable domain modules; avoid premature distribution.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ADR-002</w:t>
            </w:r>
          </w:p>
        </w:tc>
        <w:tc>
          <w:tcPr>
            <w:tcW w:type="dxa" w:w="2520"/>
            <w:vAlign w:val="top"/>
          </w:tcPr>
          <w:p>
            <w:r>
              <w:t>Use DDD Bounded Contexts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Customer, Catalog, Cart, Order, Inventory and Payment are initial business boundaries subject to model validation.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ADR-003</w:t>
            </w:r>
          </w:p>
        </w:tc>
        <w:tc>
          <w:tcPr>
            <w:tcW w:type="dxa" w:w="2520"/>
            <w:vAlign w:val="top"/>
          </w:tcPr>
          <w:p>
            <w:r>
              <w:t>Use Hexagonal Architecture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Input/output ports isolate domain/application logic from REST, persistence and external systems.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ADR-004</w:t>
            </w:r>
          </w:p>
        </w:tc>
        <w:tc>
          <w:tcPr>
            <w:tcW w:type="dxa" w:w="2520"/>
            <w:vAlign w:val="top"/>
          </w:tcPr>
          <w:p>
            <w:r>
              <w:t>PostgreSQL as Authoritative Store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Relational constraints and ACID semantics suit Phase-1 transactional correctness.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ADR-005</w:t>
            </w:r>
          </w:p>
        </w:tc>
        <w:tc>
          <w:tcPr>
            <w:tcW w:type="dxa" w:w="2520"/>
            <w:vAlign w:val="top"/>
          </w:tcPr>
          <w:p>
            <w:r>
              <w:t>Local ACID Order Transaction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Keep local state changes atomic while they remain in one DB boundary.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ADR-006</w:t>
            </w:r>
          </w:p>
        </w:tc>
        <w:tc>
          <w:tcPr>
            <w:tcW w:type="dxa" w:w="2520"/>
            <w:vAlign w:val="top"/>
          </w:tcPr>
          <w:p>
            <w:r>
              <w:t>Inventory Concurrency Control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Database-enforced atomic/optimistic control prevents overselling.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ADR-007</w:t>
            </w:r>
          </w:p>
        </w:tc>
        <w:tc>
          <w:tcPr>
            <w:tcW w:type="dxa" w:w="2520"/>
            <w:vAlign w:val="top"/>
          </w:tcPr>
          <w:p>
            <w:r>
              <w:t>Idempotent Order and Payment Creation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Unique idempotency keys make client retries safe.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ADR-008</w:t>
            </w:r>
          </w:p>
        </w:tc>
        <w:tc>
          <w:tcPr>
            <w:tcW w:type="dxa" w:w="2520"/>
            <w:vAlign w:val="top"/>
          </w:tcPr>
          <w:p>
            <w:r>
              <w:t>Architecture Fitness Functions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Automated rules prevent erosion of module and dependency boundaries.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ADR-009</w:t>
            </w:r>
          </w:p>
        </w:tc>
        <w:tc>
          <w:tcPr>
            <w:tcW w:type="dxa" w:w="2520"/>
            <w:vAlign w:val="top"/>
          </w:tcPr>
          <w:p>
            <w:r>
              <w:t>Flyway Schema Migration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Versioned repeatable deployment of schema changes.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ADR-010</w:t>
            </w:r>
          </w:p>
        </w:tc>
        <w:tc>
          <w:tcPr>
            <w:tcW w:type="dxa" w:w="2520"/>
            <w:vAlign w:val="top"/>
          </w:tcPr>
          <w:p>
            <w:r>
              <w:t>Stable API Error Contract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Clients receive consistent machine-readable failures and correlation IDs.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ADR-011</w:t>
            </w:r>
          </w:p>
        </w:tc>
        <w:tc>
          <w:tcPr>
            <w:tcW w:type="dxa" w:w="2520"/>
            <w:vAlign w:val="top"/>
          </w:tcPr>
          <w:p>
            <w:r>
              <w:t>Observability From Day One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Metrics/logs/tracing evidence drives later architectural evolution.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ADR-012</w:t>
            </w:r>
          </w:p>
        </w:tc>
        <w:tc>
          <w:tcPr>
            <w:tcW w:type="dxa" w:w="2520"/>
            <w:vAlign w:val="top"/>
          </w:tcPr>
          <w:p>
            <w:r>
              <w:t>Testcontainers Integration Strategy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Critical persistence/concurrency behavior is tested against real PostgreSQL semantics.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ADR-013</w:t>
            </w:r>
          </w:p>
        </w:tc>
        <w:tc>
          <w:tcPr>
            <w:tcW w:type="dxa" w:w="2520"/>
            <w:vAlign w:val="top"/>
          </w:tcPr>
          <w:p>
            <w:r>
              <w:t>Security Boundary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Authentication/authorization and secret-handling rules are architectural concerns.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ADR-014</w:t>
            </w:r>
          </w:p>
        </w:tc>
        <w:tc>
          <w:tcPr>
            <w:tcW w:type="dxa" w:w="2520"/>
            <w:vAlign w:val="top"/>
          </w:tcPr>
          <w:p>
            <w:r>
              <w:t>Money and Rounding Semantics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Use decimal monetary representation, explicit currency and deterministic rounding.</w:t>
            </w:r>
          </w:p>
        </w:tc>
      </w:tr>
      <w:tr>
        <w:tc>
          <w:tcPr>
            <w:tcW w:type="dxa" w:w="2520"/>
            <w:vAlign w:val="top"/>
          </w:tcPr>
          <w:p>
            <w:r>
              <w:t>ADR-015</w:t>
            </w:r>
          </w:p>
        </w:tc>
        <w:tc>
          <w:tcPr>
            <w:tcW w:type="dxa" w:w="2520"/>
            <w:vAlign w:val="top"/>
          </w:tcPr>
          <w:p>
            <w:r>
              <w:t>Service Extraction Criteria</w:t>
            </w:r>
          </w:p>
        </w:tc>
        <w:tc>
          <w:tcPr>
            <w:tcW w:type="dxa" w:w="2520"/>
            <w:vAlign w:val="top"/>
          </w:tcPr>
          <w:p>
            <w:r>
              <w:t>Accepted</w:t>
            </w:r>
          </w:p>
        </w:tc>
        <w:tc>
          <w:tcPr>
            <w:tcW w:type="dxa" w:w="2520"/>
            <w:vAlign w:val="top"/>
          </w:tcPr>
          <w:p>
            <w:r>
              <w:t>Microservices require evidence: independent scaling/deployment, fault isolation, ownership, security/data boundary, or materially distinct workload.</w:t>
            </w:r>
          </w:p>
        </w:tc>
      </w:tr>
    </w:tbl>
    <w:p>
      <w:pPr>
        <w:pStyle w:val="Heading1"/>
      </w:pPr>
      <w:r>
        <w:t>19. ADR Detail Template</w:t>
      </w:r>
    </w:p>
    <w:p>
      <w:pPr>
        <w:spacing w:before="60" w:after="120"/>
        <w:shd w:fill="F3F4F6"/>
      </w:pPr>
      <w:r>
        <w:rPr>
          <w:rFonts w:ascii="Consolas" w:hAnsi="Consolas"/>
          <w:sz w:val="17"/>
        </w:rPr>
        <w:t>ADR-NNN - &lt;Decision Title&gt;</w:t>
        <w:br/>
        <w:br/>
        <w:t>Status</w:t>
        <w:br/>
        <w:t>Proposed | Accepted | Superseded | Deprecated</w:t>
        <w:br/>
        <w:br/>
        <w:t>Context</w:t>
        <w:br/>
        <w:t>What problem, constraints, forces and alternatives exist?</w:t>
        <w:br/>
        <w:br/>
        <w:t>Decision</w:t>
        <w:br/>
        <w:t>What exactly are we deciding?</w:t>
        <w:br/>
        <w:br/>
        <w:t>Alternatives Considered</w:t>
        <w:br/>
        <w:t>1. ...</w:t>
        <w:br/>
        <w:t>2. ...</w:t>
        <w:br/>
        <w:br/>
        <w:t>Consequences</w:t>
        <w:br/>
        <w:t>Positive:</w:t>
        <w:br/>
        <w:t>+ ...</w:t>
        <w:br/>
        <w:br/>
        <w:t>Negative / trade-offs:</w:t>
        <w:br/>
        <w:t>- ...</w:t>
        <w:br/>
        <w:br/>
        <w:t>Fitness / Validation</w:t>
        <w:br/>
        <w:t>How will we verify this decision remains valid?</w:t>
        <w:br/>
        <w:br/>
        <w:t>Supersedes / Superseded By</w:t>
        <w:br/>
        <w:t>&lt;ADR references if applicable&gt;</w:t>
      </w:r>
    </w:p>
    <w:p>
      <w:pPr>
        <w:pStyle w:val="Heading1"/>
      </w:pPr>
      <w:r>
        <w:t>20. Evolution Triggers - When Phase 1 Is No Longer Enough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Observed pressure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Candidate next architectural move</w:t>
            </w:r>
          </w:p>
        </w:tc>
      </w:tr>
      <w:tr>
        <w:tc>
          <w:tcPr>
            <w:tcW w:type="dxa" w:w="5040"/>
            <w:vAlign w:val="top"/>
          </w:tcPr>
          <w:p>
            <w:r>
              <w:t>Single instance cannot meet throughput/availability</w:t>
            </w:r>
          </w:p>
        </w:tc>
        <w:tc>
          <w:tcPr>
            <w:tcW w:type="dxa" w:w="5040"/>
            <w:vAlign w:val="top"/>
          </w:tcPr>
          <w:p>
            <w:r>
              <w:t>Phase 2: stateless horizontal scaling + load balancer</w:t>
            </w:r>
          </w:p>
        </w:tc>
      </w:tr>
      <w:tr>
        <w:tc>
          <w:tcPr>
            <w:tcW w:type="dxa" w:w="5040"/>
            <w:vAlign w:val="top"/>
          </w:tcPr>
          <w:p>
            <w:r>
              <w:t>Read-heavy DB pressure / repeated reference reads</w:t>
            </w:r>
          </w:p>
        </w:tc>
        <w:tc>
          <w:tcPr>
            <w:tcW w:type="dxa" w:w="5040"/>
            <w:vAlign w:val="top"/>
          </w:tcPr>
          <w:p>
            <w:r>
              <w:t>Phase 3: cache/read optimization after measurement</w:t>
            </w:r>
          </w:p>
        </w:tc>
      </w:tr>
      <w:tr>
        <w:tc>
          <w:tcPr>
            <w:tcW w:type="dxa" w:w="5040"/>
            <w:vAlign w:val="top"/>
          </w:tcPr>
          <w:p>
            <w:r>
              <w:t>One module needs independent scale/deploy/fault isolation</w:t>
            </w:r>
          </w:p>
        </w:tc>
        <w:tc>
          <w:tcPr>
            <w:tcW w:type="dxa" w:w="5040"/>
            <w:vAlign w:val="top"/>
          </w:tcPr>
          <w:p>
            <w:r>
              <w:t>Phase 4: selective service extraction</w:t>
            </w:r>
          </w:p>
        </w:tc>
      </w:tr>
      <w:tr>
        <w:tc>
          <w:tcPr>
            <w:tcW w:type="dxa" w:w="5040"/>
            <w:vAlign w:val="top"/>
          </w:tcPr>
          <w:p>
            <w:r>
              <w:t>Synchronous coupling causes latency/failure propagation</w:t>
            </w:r>
          </w:p>
        </w:tc>
        <w:tc>
          <w:tcPr>
            <w:tcW w:type="dxa" w:w="5040"/>
            <w:vAlign w:val="top"/>
          </w:tcPr>
          <w:p>
            <w:r>
              <w:t>Phase 5: event-driven/Kafka where justified</w:t>
            </w:r>
          </w:p>
        </w:tc>
      </w:tr>
      <w:tr>
        <w:tc>
          <w:tcPr>
            <w:tcW w:type="dxa" w:w="5040"/>
            <w:vAlign w:val="top"/>
          </w:tcPr>
          <w:p>
            <w:r>
              <w:t>Multiple databases make local ACID impossible</w:t>
            </w:r>
          </w:p>
        </w:tc>
        <w:tc>
          <w:tcPr>
            <w:tcW w:type="dxa" w:w="5040"/>
            <w:vAlign w:val="top"/>
          </w:tcPr>
          <w:p>
            <w:r>
              <w:t>Phase 6: Saga + Outbox + idempotent consumers</w:t>
            </w:r>
          </w:p>
        </w:tc>
      </w:tr>
      <w:tr>
        <w:tc>
          <w:tcPr>
            <w:tcW w:type="dxa" w:w="5040"/>
            <w:vAlign w:val="top"/>
          </w:tcPr>
          <w:p>
            <w:r>
              <w:t>Operational scaling requires orchestration</w:t>
            </w:r>
          </w:p>
        </w:tc>
        <w:tc>
          <w:tcPr>
            <w:tcW w:type="dxa" w:w="5040"/>
            <w:vAlign w:val="top"/>
          </w:tcPr>
          <w:p>
            <w:r>
              <w:t>Phase 7: Kubernetes/EKS</w:t>
            </w:r>
          </w:p>
        </w:tc>
      </w:tr>
      <w:tr>
        <w:tc>
          <w:tcPr>
            <w:tcW w:type="dxa" w:w="5040"/>
            <w:vAlign w:val="top"/>
          </w:tcPr>
          <w:p>
            <w:r>
              <w:t>Reliability goals require deeper telemetry/testing</w:t>
            </w:r>
          </w:p>
        </w:tc>
        <w:tc>
          <w:tcPr>
            <w:tcW w:type="dxa" w:w="5040"/>
            <w:vAlign w:val="top"/>
          </w:tcPr>
          <w:p>
            <w:r>
              <w:t>Phase 8: SLOs, OpenTelemetry, chaos engineering</w:t>
            </w:r>
          </w:p>
        </w:tc>
      </w:tr>
      <w:tr>
        <w:tc>
          <w:tcPr>
            <w:tcW w:type="dxa" w:w="5040"/>
            <w:vAlign w:val="top"/>
          </w:tcPr>
          <w:p>
            <w:r>
              <w:t>Regional outage requirements appear</w:t>
            </w:r>
          </w:p>
        </w:tc>
        <w:tc>
          <w:tcPr>
            <w:tcW w:type="dxa" w:w="5040"/>
            <w:vAlign w:val="top"/>
          </w:tcPr>
          <w:p>
            <w:r>
              <w:t>Phase 9: multi-region DR</w:t>
            </w:r>
          </w:p>
        </w:tc>
      </w:tr>
      <w:tr>
        <w:tc>
          <w:tcPr>
            <w:tcW w:type="dxa" w:w="5040"/>
            <w:vAlign w:val="top"/>
          </w:tcPr>
          <w:p>
            <w:r>
              <w:t>AI assistance adds value without owning authoritative decisions</w:t>
            </w:r>
          </w:p>
        </w:tc>
        <w:tc>
          <w:tcPr>
            <w:tcW w:type="dxa" w:w="5040"/>
            <w:vAlign w:val="top"/>
          </w:tcPr>
          <w:p>
            <w:r>
              <w:t>Phase 10: RAG/MCP/agents + deterministic governance</w:t>
            </w:r>
          </w:p>
        </w:tc>
      </w:tr>
    </w:tbl>
    <w:p>
      <w:pPr>
        <w:pStyle w:val="Heading1"/>
      </w:pPr>
      <w:r>
        <w:t>21. Phase-1 Definition of Done</w:t>
      </w:r>
    </w:p>
    <w:p>
      <w:pPr>
        <w:pStyle w:val="ListBullet"/>
      </w:pPr>
      <w:r>
        <w:t>Bounded contexts and ownership documented.</w:t>
      </w:r>
    </w:p>
    <w:p>
      <w:pPr>
        <w:pStyle w:val="ListBullet"/>
      </w:pPr>
      <w:r>
        <w:t>HLD and LLD reviewed against requirements/NFRs.</w:t>
      </w:r>
    </w:p>
    <w:p>
      <w:pPr>
        <w:pStyle w:val="ListBullet"/>
      </w:pPr>
      <w:r>
        <w:t>All ADRs accepted or explicitly deferred.</w:t>
      </w:r>
    </w:p>
    <w:p>
      <w:pPr>
        <w:pStyle w:val="ListBullet"/>
      </w:pPr>
      <w:r>
        <w:t>Order placement and cancellation domain invariants implemented.</w:t>
      </w:r>
    </w:p>
    <w:p>
      <w:pPr>
        <w:pStyle w:val="ListBullet"/>
      </w:pPr>
      <w:r>
        <w:t>Inventory concurrency test demonstrates no overselling.</w:t>
      </w:r>
    </w:p>
    <w:p>
      <w:pPr>
        <w:pStyle w:val="ListBullet"/>
      </w:pPr>
      <w:r>
        <w:t>Order/payment idempotency behavior demonstrated.</w:t>
      </w:r>
    </w:p>
    <w:p>
      <w:pPr>
        <w:pStyle w:val="ListBullet"/>
      </w:pPr>
      <w:r>
        <w:t>Flyway migrations build a clean PostgreSQL database.</w:t>
      </w:r>
    </w:p>
    <w:p>
      <w:pPr>
        <w:pStyle w:val="ListBullet"/>
      </w:pPr>
      <w:r>
        <w:t>Architecture tests prevent forbidden module dependencies.</w:t>
      </w:r>
    </w:p>
    <w:p>
      <w:pPr>
        <w:pStyle w:val="ListBullet"/>
      </w:pPr>
      <w:r>
        <w:t>Structured logging, metrics, health and correlation IDs operational.</w:t>
      </w:r>
    </w:p>
    <w:p>
      <w:pPr>
        <w:pStyle w:val="ListBullet"/>
      </w:pPr>
      <w:r>
        <w:t>Testcontainers integration suite passes.</w:t>
      </w:r>
    </w:p>
    <w:p>
      <w:pPr>
        <w:pStyle w:val="ListBullet"/>
      </w:pPr>
      <w:r>
        <w:t>Load-test baseline captured to provide evidence for Phase 2.</w:t>
      </w:r>
    </w:p>
    <w:p>
      <w:pPr>
        <w:pStyle w:val="Heading1"/>
      </w:pPr>
      <w:r>
        <w:t>22. Principal Engineer Interview Narrative</w:t>
      </w:r>
    </w:p>
    <w:p>
      <w:r>
        <w:t>“Phase 1 intentionally starts as a DDD-aligned modular monolith. Hexagonal ports and adapters protect the domain from infrastructure, PostgreSQL provides the authoritative ACID boundary, and architecture fitness functions enforce module independence. I do not introduce microservices, Kafka, Saga or Kubernetes without a measurable reason. We baseline latency, throughput, errors and concurrency behavior first; later architecture decisions are triggered by observed scaling, resilience, deployment or ownership requirements.”</w:t>
      </w:r>
    </w:p>
    <w:p>
      <w:pPr>
        <w:pStyle w:val="Heading1"/>
      </w:pPr>
      <w:r>
        <w:t>Appendix A - Key Design Questions Before Coding</w:t>
      </w:r>
    </w:p>
    <w:p>
      <w:pPr>
        <w:pStyle w:val="ListNumber"/>
      </w:pPr>
      <w:r>
        <w:t>Is Payment in Phase 1 a local/simulated authorization or a real external PSP integration?</w:t>
      </w:r>
    </w:p>
    <w:p>
      <w:pPr>
        <w:pStyle w:val="ListNumber"/>
      </w:pPr>
      <w:r>
        <w:t>What exact order state machine and cancellation rules are required?</w:t>
      </w:r>
    </w:p>
    <w:p>
      <w:pPr>
        <w:pStyle w:val="ListNumber"/>
      </w:pPr>
      <w:r>
        <w:t>When is inventory reserved: cart time or order placement time?</w:t>
      </w:r>
    </w:p>
    <w:p>
      <w:pPr>
        <w:pStyle w:val="ListNumber"/>
      </w:pPr>
      <w:r>
        <w:t>How long does an inventory reservation live?</w:t>
      </w:r>
    </w:p>
    <w:p>
      <w:pPr>
        <w:pStyle w:val="ListNumber"/>
      </w:pPr>
      <w:r>
        <w:t>What is the price authority: current catalog price or price captured in cart/order?</w:t>
      </w:r>
    </w:p>
    <w:p>
      <w:pPr>
        <w:pStyle w:val="ListNumber"/>
      </w:pPr>
      <w:r>
        <w:t>What authentication mechanism will Phase 1 actually integrate?</w:t>
      </w:r>
    </w:p>
    <w:p>
      <w:pPr>
        <w:pStyle w:val="ListNumber"/>
      </w:pPr>
      <w:r>
        <w:t>What initial load-test workload will establish the baseline?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System Design Lab | Phase 1 Architecture | HLD + LLD + ADR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