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SYSTEM DESIGN LAB</w:t>
      </w:r>
    </w:p>
    <w:p>
      <w:pPr>
        <w:jc w:val="center"/>
      </w:pPr>
      <w:r>
        <w:rPr>
          <w:b/>
          <w:sz w:val="44"/>
        </w:rPr>
        <w:t>Phase 1 Implementation Plan - v1.0</w:t>
      </w:r>
    </w:p>
    <w:p>
      <w:pPr>
        <w:jc w:val="center"/>
      </w:pPr>
      <w:r>
        <w:rPr>
          <w:b/>
        </w:rPr>
        <w:t>Global Order &amp; Payment Platform</w:t>
      </w:r>
    </w:p>
    <w:p>
      <w:pPr>
        <w:jc w:val="center"/>
      </w:pPr>
      <w:r>
        <w:rPr>
          <w:i/>
        </w:rPr>
        <w:t>Architecture baseline: DDD + Modular Monolith + Hexagonal Architecture + PostgreSQL/ACID</w:t>
      </w:r>
    </w:p>
    <w:tbl>
      <w:tblPr>
        <w:tblStyle w:val="TableGrid"/>
        <w:tblW w:type="auto" w:w="0"/>
        <w:tblLook w:firstColumn="1" w:firstRow="1" w:lastColumn="0" w:lastRow="0" w:noHBand="0" w:noVBand="1" w:val="04A0"/>
      </w:tblPr>
      <w:tblGrid>
        <w:gridCol w:w="5112"/>
        <w:gridCol w:w="5112"/>
      </w:tblGrid>
      <w:tr>
        <w:tc>
          <w:tcPr>
            <w:tcW w:type="dxa" w:w="5112"/>
            <w:shd w:fill="DCE6F1"/>
          </w:tcPr>
          <w:p>
            <w:r>
              <w:rPr>
                <w:b/>
              </w:rPr>
              <w:t>Architecture source</w:t>
            </w:r>
          </w:p>
        </w:tc>
        <w:tc>
          <w:tcPr>
            <w:tcW w:type="dxa" w:w="5112"/>
          </w:tcPr>
          <w:p>
            <w:r>
              <w:t>Phase 1 Architecture v1.2</w:t>
            </w:r>
          </w:p>
        </w:tc>
      </w:tr>
      <w:tr>
        <w:tc>
          <w:tcPr>
            <w:tcW w:type="dxa" w:w="5112"/>
            <w:shd w:fill="DCE6F1"/>
          </w:tcPr>
          <w:p>
            <w:r>
              <w:rPr>
                <w:b/>
              </w:rPr>
              <w:t>Decision source</w:t>
            </w:r>
          </w:p>
        </w:tc>
        <w:tc>
          <w:tcPr>
            <w:tcW w:type="dxa" w:w="5112"/>
          </w:tcPr>
          <w:p>
            <w:r>
              <w:t>ADR-001 through ADR-022</w:t>
            </w:r>
          </w:p>
        </w:tc>
      </w:tr>
      <w:tr>
        <w:tc>
          <w:tcPr>
            <w:tcW w:type="dxa" w:w="5112"/>
            <w:shd w:fill="DCE6F1"/>
          </w:tcPr>
          <w:p>
            <w:r>
              <w:rPr>
                <w:b/>
              </w:rPr>
              <w:t>Primary stack</w:t>
            </w:r>
          </w:p>
        </w:tc>
        <w:tc>
          <w:tcPr>
            <w:tcW w:type="dxa" w:w="5112"/>
          </w:tcPr>
          <w:p>
            <w:r>
              <w:t>Java 21+, Spring Boot, Gradle, PostgreSQL, Flyway, Testcontainers, Docker</w:t>
            </w:r>
          </w:p>
        </w:tc>
      </w:tr>
      <w:tr>
        <w:tc>
          <w:tcPr>
            <w:tcW w:type="dxa" w:w="5112"/>
            <w:shd w:fill="DCE6F1"/>
          </w:tcPr>
          <w:p>
            <w:r>
              <w:rPr>
                <w:b/>
              </w:rPr>
              <w:t>Implementation principle</w:t>
            </w:r>
          </w:p>
        </w:tc>
        <w:tc>
          <w:tcPr>
            <w:tcW w:type="dxa" w:w="5112"/>
          </w:tcPr>
          <w:p>
            <w:r>
              <w:t>Vertical slices; correctness before scale</w:t>
            </w:r>
          </w:p>
        </w:tc>
      </w:tr>
      <w:tr>
        <w:tc>
          <w:tcPr>
            <w:tcW w:type="dxa" w:w="5112"/>
            <w:shd w:fill="DCE6F1"/>
          </w:tcPr>
          <w:p>
            <w:r>
              <w:rPr>
                <w:b/>
              </w:rPr>
              <w:t>Phase-1 exit</w:t>
            </w:r>
          </w:p>
        </w:tc>
        <w:tc>
          <w:tcPr>
            <w:tcW w:type="dxa" w:w="5112"/>
          </w:tcPr>
          <w:p>
            <w:r>
              <w:t>Tested, observable modular monolith with load-test baseline</w:t>
            </w:r>
          </w:p>
        </w:tc>
      </w:tr>
    </w:tbl>
    <w:p>
      <w:pPr>
        <w:spacing w:before="200" w:after="80"/>
      </w:pPr>
      <w:r>
        <w:rPr>
          <w:b/>
          <w:sz w:val="32"/>
        </w:rPr>
        <w:t>1. Purpose</w:t>
      </w:r>
    </w:p>
    <w:p>
      <w:r>
        <w:t>This plan translates the approved Phase-1 architecture and ADRs into an executable implementation sequence. It does not introduce new architecture. Each work package must trace to an architectural decision, produce testable evidence, and keep the application deployable throughout implementation.</w:t>
      </w:r>
    </w:p>
    <w:p>
      <w:pPr>
        <w:spacing w:before="200" w:after="80"/>
      </w:pPr>
      <w:r>
        <w:rPr>
          <w:b/>
          <w:sz w:val="32"/>
        </w:rPr>
        <w:t>2. Implementation Rules</w:t>
      </w:r>
    </w:p>
    <w:p>
      <w:pPr>
        <w:ind w:left="288"/>
      </w:pPr>
      <w:r>
        <w:t>• Build by vertical capability, not by creating every controller/repository first.</w:t>
      </w:r>
    </w:p>
    <w:p>
      <w:pPr>
        <w:ind w:left="288"/>
      </w:pPr>
      <w:r>
        <w:t>• Domain invariants are implemented and unit-tested before infrastructure adapters.</w:t>
      </w:r>
    </w:p>
    <w:p>
      <w:pPr>
        <w:ind w:left="288"/>
      </w:pPr>
      <w:r>
        <w:t>• Cross-module collaboration uses published ports/contracts; no foreign persistence access.</w:t>
      </w:r>
    </w:p>
    <w:p>
      <w:pPr>
        <w:ind w:left="288"/>
      </w:pPr>
      <w:r>
        <w:t>• PostgreSQL is authoritative for inventory concurrency and uniqueness/idempotency.</w:t>
      </w:r>
    </w:p>
    <w:p>
      <w:pPr>
        <w:ind w:left="288"/>
      </w:pPr>
      <w:r>
        <w:t>• External payment authorization executes outside an open PostgreSQL transaction.</w:t>
      </w:r>
    </w:p>
    <w:p>
      <w:pPr>
        <w:ind w:left="288"/>
      </w:pPr>
      <w:r>
        <w:t>• No Kafka, Redis, Kubernetes, Saga, CQRS or Event Sourcing in Phase 1.</w:t>
      </w:r>
    </w:p>
    <w:p>
      <w:pPr>
        <w:ind w:left="288"/>
      </w:pPr>
      <w:r>
        <w:t>• Every architecture rule that can be automated becomes a CI fitness test.</w:t>
      </w:r>
    </w:p>
    <w:p>
      <w:pPr>
        <w:ind w:left="288"/>
      </w:pPr>
      <w:r>
        <w:t>• Every completed slice adds logs/metrics/correlation and integration tests.</w:t>
      </w:r>
    </w:p>
    <w:p>
      <w:pPr>
        <w:spacing w:before="200" w:after="80"/>
      </w:pPr>
      <w:r>
        <w:rPr>
          <w:b/>
          <w:sz w:val="32"/>
        </w:rPr>
        <w:t>3. Target Repository Structure</w:t>
      </w:r>
    </w:p>
    <w:p>
      <w:r>
        <w:t>system-design-lab/</w:t>
        <w:br/>
        <w:t xml:space="preserve">  docs/</w:t>
        <w:br/>
        <w:t xml:space="preserve">    architecture/</w:t>
        <w:br/>
        <w:t xml:space="preserve">    adr/</w:t>
        <w:br/>
        <w:t xml:space="preserve">    implementation/</w:t>
        <w:br/>
        <w:t xml:space="preserve">  application/</w:t>
        <w:br/>
        <w:t xml:space="preserve">    src/main/java/.../</w:t>
        <w:br/>
        <w:t xml:space="preserve">      customer/</w:t>
        <w:br/>
        <w:t xml:space="preserve">      catalog/</w:t>
        <w:br/>
        <w:t xml:space="preserve">      cart/</w:t>
        <w:br/>
        <w:t xml:space="preserve">      order/</w:t>
        <w:br/>
        <w:t xml:space="preserve">      inventory/</w:t>
        <w:br/>
        <w:t xml:space="preserve">      payment/</w:t>
        <w:br/>
        <w:t xml:space="preserve">      shared/</w:t>
        <w:br/>
        <w:t xml:space="preserve">    src/test/java/.../</w:t>
        <w:br/>
        <w:t xml:space="preserve">  database/</w:t>
        <w:br/>
        <w:t xml:space="preserve">    migrations/</w:t>
        <w:br/>
        <w:t xml:space="preserve">  docker/</w:t>
        <w:br/>
        <w:t xml:space="preserve">  build.gradle</w:t>
        <w:br/>
        <w:t xml:space="preserve">  README.md</w:t>
      </w:r>
    </w:p>
    <w:p>
      <w:pPr>
        <w:spacing w:before="200" w:after="80"/>
      </w:pPr>
      <w:r>
        <w:rPr>
          <w:b/>
          <w:sz w:val="32"/>
        </w:rPr>
        <w:t>4. Delivery Sequence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DCE6F1"/>
          </w:tcPr>
          <w:p>
            <w:r>
              <w:rPr>
                <w:b/>
              </w:rPr>
              <w:t>WP</w:t>
            </w:r>
          </w:p>
        </w:tc>
        <w:tc>
          <w:tcPr>
            <w:tcW w:type="dxa" w:w="2045"/>
            <w:shd w:fill="DCE6F1"/>
          </w:tcPr>
          <w:p>
            <w:r>
              <w:rPr>
                <w:b/>
              </w:rPr>
              <w:t>Work package</w:t>
            </w:r>
          </w:p>
        </w:tc>
        <w:tc>
          <w:tcPr>
            <w:tcW w:type="dxa" w:w="2045"/>
            <w:shd w:fill="DCE6F1"/>
          </w:tcPr>
          <w:p>
            <w:r>
              <w:rPr>
                <w:b/>
              </w:rPr>
              <w:t>Implementation</w:t>
            </w:r>
          </w:p>
        </w:tc>
        <w:tc>
          <w:tcPr>
            <w:tcW w:type="dxa" w:w="2045"/>
            <w:shd w:fill="DCE6F1"/>
          </w:tcPr>
          <w:p>
            <w:r>
              <w:rPr>
                <w:b/>
              </w:rPr>
              <w:t>ADR trace</w:t>
            </w:r>
          </w:p>
        </w:tc>
        <w:tc>
          <w:tcPr>
            <w:tcW w:type="dxa" w:w="2045"/>
            <w:shd w:fill="DCE6F1"/>
          </w:tcPr>
          <w:p>
            <w:r>
              <w:rPr>
                <w:b/>
              </w:rPr>
              <w:t>Exit evidence</w:t>
            </w:r>
          </w:p>
        </w:tc>
      </w:tr>
      <w:tr>
        <w:tc>
          <w:tcPr>
            <w:tcW w:type="dxa" w:w="2045"/>
          </w:tcPr>
          <w:p>
            <w:r>
              <w:t>WP-00</w:t>
            </w:r>
          </w:p>
        </w:tc>
        <w:tc>
          <w:tcPr>
            <w:tcW w:type="dxa" w:w="2045"/>
          </w:tcPr>
          <w:p>
            <w:r>
              <w:t>Repository &amp; engineering baseline</w:t>
            </w:r>
          </w:p>
        </w:tc>
        <w:tc>
          <w:tcPr>
            <w:tcW w:type="dxa" w:w="2045"/>
          </w:tcPr>
          <w:p>
            <w:r>
              <w:t>Bootstrap Gradle/Spring Boot; Java toolchain; profiles; Docker PostgreSQL; CI skeleton; README.</w:t>
            </w:r>
          </w:p>
        </w:tc>
        <w:tc>
          <w:tcPr>
            <w:tcW w:type="dxa" w:w="2045"/>
          </w:tcPr>
          <w:p>
            <w:r>
              <w:t>ADR-009, 011, 012</w:t>
            </w:r>
          </w:p>
        </w:tc>
        <w:tc>
          <w:tcPr>
            <w:tcW w:type="dxa" w:w="2045"/>
          </w:tcPr>
          <w:p>
            <w:r>
              <w:t>Application starts; DB health works; clean CI build.</w:t>
            </w:r>
          </w:p>
        </w:tc>
      </w:tr>
      <w:tr>
        <w:tc>
          <w:tcPr>
            <w:tcW w:type="dxa" w:w="2045"/>
          </w:tcPr>
          <w:p>
            <w:r>
              <w:t>WP-01</w:t>
            </w:r>
          </w:p>
        </w:tc>
        <w:tc>
          <w:tcPr>
            <w:tcW w:type="dxa" w:w="2045"/>
          </w:tcPr>
          <w:p>
            <w:r>
              <w:t>Architecture skeleton &amp; fitness tests</w:t>
            </w:r>
          </w:p>
        </w:tc>
        <w:tc>
          <w:tcPr>
            <w:tcW w:type="dxa" w:w="2045"/>
          </w:tcPr>
          <w:p>
            <w:r>
              <w:t>Create module/package boundaries, port/adapter conventions, initial ArchUnit rules and cycle checks.</w:t>
            </w:r>
          </w:p>
        </w:tc>
        <w:tc>
          <w:tcPr>
            <w:tcW w:type="dxa" w:w="2045"/>
          </w:tcPr>
          <w:p>
            <w:r>
              <w:t>ADR-001, 002, 003, 008</w:t>
            </w:r>
          </w:p>
        </w:tc>
        <w:tc>
          <w:tcPr>
            <w:tcW w:type="dxa" w:w="2045"/>
          </w:tcPr>
          <w:p>
            <w:r>
              <w:t>Forbidden dependency fixture fails; valid module graph passes.</w:t>
            </w:r>
          </w:p>
        </w:tc>
      </w:tr>
      <w:tr>
        <w:tc>
          <w:tcPr>
            <w:tcW w:type="dxa" w:w="2045"/>
          </w:tcPr>
          <w:p>
            <w:r>
              <w:t>WP-02</w:t>
            </w:r>
          </w:p>
        </w:tc>
        <w:tc>
          <w:tcPr>
            <w:tcW w:type="dxa" w:w="2045"/>
          </w:tcPr>
          <w:p>
            <w:r>
              <w:t>Database foundation</w:t>
            </w:r>
          </w:p>
        </w:tc>
        <w:tc>
          <w:tcPr>
            <w:tcW w:type="dxa" w:w="2045"/>
          </w:tcPr>
          <w:p>
            <w:r>
              <w:t>Create module schemas, DB roles/grants, Flyway baseline and Testcontainers database bootstrap.</w:t>
            </w:r>
          </w:p>
        </w:tc>
        <w:tc>
          <w:tcPr>
            <w:tcW w:type="dxa" w:w="2045"/>
          </w:tcPr>
          <w:p>
            <w:r>
              <w:t>ADR-004, 009, 012, 018</w:t>
            </w:r>
          </w:p>
        </w:tc>
        <w:tc>
          <w:tcPr>
            <w:tcW w:type="dxa" w:w="2045"/>
          </w:tcPr>
          <w:p>
            <w:r>
              <w:t>Migrate from zero; cross-schema access test fails as designed.</w:t>
            </w:r>
          </w:p>
        </w:tc>
      </w:tr>
      <w:tr>
        <w:tc>
          <w:tcPr>
            <w:tcW w:type="dxa" w:w="2045"/>
          </w:tcPr>
          <w:p>
            <w:r>
              <w:t>WP-03</w:t>
            </w:r>
          </w:p>
        </w:tc>
        <w:tc>
          <w:tcPr>
            <w:tcW w:type="dxa" w:w="2045"/>
          </w:tcPr>
          <w:p>
            <w:r>
              <w:t>Shared domain primitives</w:t>
            </w:r>
          </w:p>
        </w:tc>
        <w:tc>
          <w:tcPr>
            <w:tcW w:type="dxa" w:w="2045"/>
          </w:tcPr>
          <w:p>
            <w:r>
              <w:t>Implement identifiers, Money, currency validation, audit/correlation primitives and stable domain errors.</w:t>
            </w:r>
          </w:p>
        </w:tc>
        <w:tc>
          <w:tcPr>
            <w:tcW w:type="dxa" w:w="2045"/>
          </w:tcPr>
          <w:p>
            <w:r>
              <w:t>ADR-010, 014</w:t>
            </w:r>
          </w:p>
        </w:tc>
        <w:tc>
          <w:tcPr>
            <w:tcW w:type="dxa" w:w="2045"/>
          </w:tcPr>
          <w:p>
            <w:r>
              <w:t>Money rounding/precision tests pass; no float/double authoritative money.</w:t>
            </w:r>
          </w:p>
        </w:tc>
      </w:tr>
      <w:tr>
        <w:tc>
          <w:tcPr>
            <w:tcW w:type="dxa" w:w="2045"/>
          </w:tcPr>
          <w:p>
            <w:r>
              <w:t>WP-04</w:t>
            </w:r>
          </w:p>
        </w:tc>
        <w:tc>
          <w:tcPr>
            <w:tcW w:type="dxa" w:w="2045"/>
          </w:tcPr>
          <w:p>
            <w:r>
              <w:t>Catalog vertical slice</w:t>
            </w:r>
          </w:p>
        </w:tc>
        <w:tc>
          <w:tcPr>
            <w:tcW w:type="dxa" w:w="2045"/>
          </w:tcPr>
          <w:p>
            <w:r>
              <w:t>Implement Product/SKU/price domain, repository adapter and GET product API.</w:t>
            </w:r>
          </w:p>
        </w:tc>
        <w:tc>
          <w:tcPr>
            <w:tcW w:type="dxa" w:w="2045"/>
          </w:tcPr>
          <w:p>
            <w:r>
              <w:t>ADR-002, 003, 004, 014, 022</w:t>
            </w:r>
          </w:p>
        </w:tc>
        <w:tc>
          <w:tcPr>
            <w:tcW w:type="dxa" w:w="2045"/>
          </w:tcPr>
          <w:p>
            <w:r>
              <w:t>Product retrieval integration/contract tests pass.</w:t>
            </w:r>
          </w:p>
        </w:tc>
      </w:tr>
      <w:tr>
        <w:tc>
          <w:tcPr>
            <w:tcW w:type="dxa" w:w="2045"/>
          </w:tcPr>
          <w:p>
            <w:r>
              <w:t>WP-05</w:t>
            </w:r>
          </w:p>
        </w:tc>
        <w:tc>
          <w:tcPr>
            <w:tcW w:type="dxa" w:w="2045"/>
          </w:tcPr>
          <w:p>
            <w:r>
              <w:t>Cart vertical slice</w:t>
            </w:r>
          </w:p>
        </w:tc>
        <w:tc>
          <w:tcPr>
            <w:tcW w:type="dxa" w:w="2045"/>
          </w:tcPr>
          <w:p>
            <w:r>
              <w:t>Implement Cart/CartItem lifecycle; advisory captured price; create cart/add item APIs. No inventory reservation.</w:t>
            </w:r>
          </w:p>
        </w:tc>
        <w:tc>
          <w:tcPr>
            <w:tcW w:type="dxa" w:w="2045"/>
          </w:tcPr>
          <w:p>
            <w:r>
              <w:t>ADR-002, 022</w:t>
            </w:r>
          </w:p>
        </w:tc>
        <w:tc>
          <w:tcPr>
            <w:tcW w:type="dxa" w:w="2045"/>
          </w:tcPr>
          <w:p>
            <w:r>
              <w:t>Cart price is display-only; add-to-cart never changes inventory.</w:t>
            </w:r>
          </w:p>
        </w:tc>
      </w:tr>
      <w:tr>
        <w:tc>
          <w:tcPr>
            <w:tcW w:type="dxa" w:w="2045"/>
          </w:tcPr>
          <w:p>
            <w:r>
              <w:t>WP-06</w:t>
            </w:r>
          </w:p>
        </w:tc>
        <w:tc>
          <w:tcPr>
            <w:tcW w:type="dxa" w:w="2045"/>
          </w:tcPr>
          <w:p>
            <w:r>
              <w:t>Inventory core</w:t>
            </w:r>
          </w:p>
        </w:tc>
        <w:tc>
          <w:tcPr>
            <w:tcW w:type="dxa" w:w="2045"/>
          </w:tcPr>
          <w:p>
            <w:r>
              <w:t>Implement inventory aggregate/model, atomic conditional reserve operation and concurrency tests.</w:t>
            </w:r>
          </w:p>
        </w:tc>
        <w:tc>
          <w:tcPr>
            <w:tcW w:type="dxa" w:w="2045"/>
          </w:tcPr>
          <w:p>
            <w:r>
              <w:t>ADR-006, 020</w:t>
            </w:r>
          </w:p>
        </w:tc>
        <w:tc>
          <w:tcPr>
            <w:tcW w:type="dxa" w:w="2045"/>
          </w:tcPr>
          <w:p>
            <w:r>
              <w:t>Concurrent reservations never oversell; entity save path is forbidden.</w:t>
            </w:r>
          </w:p>
        </w:tc>
      </w:tr>
      <w:tr>
        <w:tc>
          <w:tcPr>
            <w:tcW w:type="dxa" w:w="2045"/>
          </w:tcPr>
          <w:p>
            <w:r>
              <w:t>WP-07</w:t>
            </w:r>
          </w:p>
        </w:tc>
        <w:tc>
          <w:tcPr>
            <w:tcW w:type="dxa" w:w="2045"/>
          </w:tcPr>
          <w:p>
            <w:r>
              <w:t>Reservation lifecycle</w:t>
            </w:r>
          </w:p>
        </w:tc>
        <w:tc>
          <w:tcPr>
            <w:tcW w:type="dxa" w:w="2045"/>
          </w:tcPr>
          <w:p>
            <w:r>
              <w:t>Implement inventory_reservation, RESERVED/CONFIRMED/RELEASED/EXPIRED transitions, 15-minute TTL and sweeper.</w:t>
            </w:r>
          </w:p>
        </w:tc>
        <w:tc>
          <w:tcPr>
            <w:tcW w:type="dxa" w:w="2045"/>
          </w:tcPr>
          <w:p>
            <w:r>
              <w:t>ADR-017, 020</w:t>
            </w:r>
          </w:p>
        </w:tc>
        <w:tc>
          <w:tcPr>
            <w:tcW w:type="dxa" w:w="2045"/>
          </w:tcPr>
          <w:p>
            <w:r>
              <w:t>Expiry/release + quantity restoration commit atomically; no double release.</w:t>
            </w:r>
          </w:p>
        </w:tc>
      </w:tr>
      <w:tr>
        <w:tc>
          <w:tcPr>
            <w:tcW w:type="dxa" w:w="2045"/>
          </w:tcPr>
          <w:p>
            <w:r>
              <w:t>WP-08</w:t>
            </w:r>
          </w:p>
        </w:tc>
        <w:tc>
          <w:tcPr>
            <w:tcW w:type="dxa" w:w="2045"/>
          </w:tcPr>
          <w:p>
            <w:r>
              <w:t>Order domain model</w:t>
            </w:r>
          </w:p>
        </w:tc>
        <w:tc>
          <w:tcPr>
            <w:tcW w:type="dxa" w:w="2045"/>
          </w:tcPr>
          <w:p>
            <w:r>
              <w:t>Implement Order aggregate, OrderItem, state machine, placement/cancellation invariants and authoritative price validation.</w:t>
            </w:r>
          </w:p>
        </w:tc>
        <w:tc>
          <w:tcPr>
            <w:tcW w:type="dxa" w:w="2045"/>
          </w:tcPr>
          <w:p>
            <w:r>
              <w:t>ADR-002, 014, 022</w:t>
            </w:r>
          </w:p>
        </w:tc>
        <w:tc>
          <w:tcPr>
            <w:tcW w:type="dxa" w:w="2045"/>
          </w:tcPr>
          <w:p>
            <w:r>
              <w:t>State-transition and PRICE_CHANGED domain tests pass.</w:t>
            </w:r>
          </w:p>
        </w:tc>
      </w:tr>
      <w:tr>
        <w:tc>
          <w:tcPr>
            <w:tcW w:type="dxa" w:w="2045"/>
          </w:tcPr>
          <w:p>
            <w:r>
              <w:t>WP-09</w:t>
            </w:r>
          </w:p>
        </w:tc>
        <w:tc>
          <w:tcPr>
            <w:tcW w:type="dxa" w:w="2045"/>
          </w:tcPr>
          <w:p>
            <w:r>
              <w:t>Idempotency subsystem</w:t>
            </w:r>
          </w:p>
        </w:tc>
        <w:tc>
          <w:tcPr>
            <w:tcW w:type="dxa" w:w="2045"/>
          </w:tcPr>
          <w:p>
            <w:r>
              <w:t>Implement Idempotency-Key persistence, canonical request hash, stored canonical response/hash and uniqueness.</w:t>
            </w:r>
          </w:p>
        </w:tc>
        <w:tc>
          <w:tcPr>
            <w:tcW w:type="dxa" w:w="2045"/>
          </w:tcPr>
          <w:p>
            <w:r>
              <w:t>ADR-007, 021</w:t>
            </w:r>
          </w:p>
        </w:tc>
        <w:tc>
          <w:tcPr>
            <w:tcW w:type="dxa" w:w="2045"/>
          </w:tcPr>
          <w:p>
            <w:r>
              <w:t>Same request/key returns byte-identical response; changed request/key is rejected.</w:t>
            </w:r>
          </w:p>
        </w:tc>
      </w:tr>
      <w:tr>
        <w:tc>
          <w:tcPr>
            <w:tcW w:type="dxa" w:w="2045"/>
          </w:tcPr>
          <w:p>
            <w:r>
              <w:t>WP-10</w:t>
            </w:r>
          </w:p>
        </w:tc>
        <w:tc>
          <w:tcPr>
            <w:tcW w:type="dxa" w:w="2045"/>
          </w:tcPr>
          <w:p>
            <w:r>
              <w:t>Order placement TX-1</w:t>
            </w:r>
          </w:p>
        </w:tc>
        <w:tc>
          <w:tcPr>
            <w:tcW w:type="dxa" w:w="2045"/>
          </w:tcPr>
          <w:p>
            <w:r>
              <w:t>Implement POST /orders through Order input port: validate references, reserve inventory, create PENDING_PAYMENT order and commit.</w:t>
            </w:r>
          </w:p>
        </w:tc>
        <w:tc>
          <w:tcPr>
            <w:tcW w:type="dxa" w:w="2045"/>
          </w:tcPr>
          <w:p>
            <w:r>
              <w:t>ADR-005, 006, 007, 017, 020, 022</w:t>
            </w:r>
          </w:p>
        </w:tc>
        <w:tc>
          <w:tcPr>
            <w:tcW w:type="dxa" w:w="2045"/>
          </w:tcPr>
          <w:p>
            <w:r>
              <w:t>Failure rollback is correct; retry never creates duplicate order/reservation.</w:t>
            </w:r>
          </w:p>
        </w:tc>
      </w:tr>
      <w:tr>
        <w:tc>
          <w:tcPr>
            <w:tcW w:type="dxa" w:w="2045"/>
          </w:tcPr>
          <w:p>
            <w:r>
              <w:t>WP-11</w:t>
            </w:r>
          </w:p>
        </w:tc>
        <w:tc>
          <w:tcPr>
            <w:tcW w:type="dxa" w:w="2045"/>
          </w:tcPr>
          <w:p>
            <w:r>
              <w:t>Local transactional outbox</w:t>
            </w:r>
          </w:p>
        </w:tc>
        <w:tc>
          <w:tcPr>
            <w:tcW w:type="dxa" w:w="2045"/>
          </w:tcPr>
          <w:p>
            <w:r>
              <w:t>Create outbox_event migration and write OrderPlaced transactionally with order creation; no publisher.</w:t>
            </w:r>
          </w:p>
        </w:tc>
        <w:tc>
          <w:tcPr>
            <w:tcW w:type="dxa" w:w="2045"/>
          </w:tcPr>
          <w:p>
            <w:r>
              <w:t>ADR-019</w:t>
            </w:r>
          </w:p>
        </w:tc>
        <w:tc>
          <w:tcPr>
            <w:tcW w:type="dxa" w:w="2045"/>
          </w:tcPr>
          <w:p>
            <w:r>
              <w:t>State change and outbox row commit/rollback together; published_at remains NULL.</w:t>
            </w:r>
          </w:p>
        </w:tc>
      </w:tr>
      <w:tr>
        <w:tc>
          <w:tcPr>
            <w:tcW w:type="dxa" w:w="2045"/>
          </w:tcPr>
          <w:p>
            <w:r>
              <w:t>WP-12</w:t>
            </w:r>
          </w:p>
        </w:tc>
        <w:tc>
          <w:tcPr>
            <w:tcW w:type="dxa" w:w="2045"/>
          </w:tcPr>
          <w:p>
            <w:r>
              <w:t>Payment adapter &amp; TX-2</w:t>
            </w:r>
          </w:p>
        </w:tc>
        <w:tc>
          <w:tcPr>
            <w:tcW w:type="dxa" w:w="2045"/>
          </w:tcPr>
          <w:p>
            <w:r>
              <w:t>Implement PaymentPort, simulated/local provider first, payment idempotency, external-call boundary, PAID/PAYMENT_FAILED result transaction.</w:t>
            </w:r>
          </w:p>
        </w:tc>
        <w:tc>
          <w:tcPr>
            <w:tcW w:type="dxa" w:w="2045"/>
          </w:tcPr>
          <w:p>
            <w:r>
              <w:t>ADR-005, 007, 016, 021</w:t>
            </w:r>
          </w:p>
        </w:tc>
        <w:tc>
          <w:tcPr>
            <w:tcW w:type="dxa" w:w="2045"/>
          </w:tcPr>
          <w:p>
            <w:r>
              <w:t>No open DB transaction during provider call; crash-window recovery tests pass.</w:t>
            </w:r>
          </w:p>
        </w:tc>
      </w:tr>
      <w:tr>
        <w:tc>
          <w:tcPr>
            <w:tcW w:type="dxa" w:w="2045"/>
          </w:tcPr>
          <w:p>
            <w:r>
              <w:t>WP-13</w:t>
            </w:r>
          </w:p>
        </w:tc>
        <w:tc>
          <w:tcPr>
            <w:tcW w:type="dxa" w:w="2045"/>
          </w:tcPr>
          <w:p>
            <w:r>
              <w:t>Cancellation &amp; compensation inside monolith</w:t>
            </w:r>
          </w:p>
        </w:tc>
        <w:tc>
          <w:tcPr>
            <w:tcW w:type="dxa" w:w="2045"/>
          </w:tcPr>
          <w:p>
            <w:r>
              <w:t>Define eligible cancellation behavior; release RESERVED inventory atomically where applicable; write OrderCancelled event.</w:t>
            </w:r>
          </w:p>
        </w:tc>
        <w:tc>
          <w:tcPr>
            <w:tcW w:type="dxa" w:w="2045"/>
          </w:tcPr>
          <w:p>
            <w:r>
              <w:t>ADR-005, 017, 019</w:t>
            </w:r>
          </w:p>
        </w:tc>
        <w:tc>
          <w:tcPr>
            <w:tcW w:type="dxa" w:w="2045"/>
          </w:tcPr>
          <w:p>
            <w:r>
              <w:t>Cancellation is idempotent and cannot double-release inventory.</w:t>
            </w:r>
          </w:p>
        </w:tc>
      </w:tr>
      <w:tr>
        <w:tc>
          <w:tcPr>
            <w:tcW w:type="dxa" w:w="2045"/>
          </w:tcPr>
          <w:p>
            <w:r>
              <w:t>WP-14</w:t>
            </w:r>
          </w:p>
        </w:tc>
        <w:tc>
          <w:tcPr>
            <w:tcW w:type="dxa" w:w="2045"/>
          </w:tcPr>
          <w:p>
            <w:r>
              <w:t>API completion</w:t>
            </w:r>
          </w:p>
        </w:tc>
        <w:tc>
          <w:tcPr>
            <w:tcW w:type="dxa" w:w="2045"/>
          </w:tcPr>
          <w:p>
            <w:r>
              <w:t>GET order, cancel endpoint, stable error envelope, validation and correlation ID propagation.</w:t>
            </w:r>
          </w:p>
        </w:tc>
        <w:tc>
          <w:tcPr>
            <w:tcW w:type="dxa" w:w="2045"/>
          </w:tcPr>
          <w:p>
            <w:r>
              <w:t>ADR-010, 011</w:t>
            </w:r>
          </w:p>
        </w:tc>
        <w:tc>
          <w:tcPr>
            <w:tcW w:type="dxa" w:w="2045"/>
          </w:tcPr>
          <w:p>
            <w:r>
              <w:t>API contract suite covers success and representative failures.</w:t>
            </w:r>
          </w:p>
        </w:tc>
      </w:tr>
      <w:tr>
        <w:tc>
          <w:tcPr>
            <w:tcW w:type="dxa" w:w="2045"/>
          </w:tcPr>
          <w:p>
            <w:r>
              <w:t>WP-15</w:t>
            </w:r>
          </w:p>
        </w:tc>
        <w:tc>
          <w:tcPr>
            <w:tcW w:type="dxa" w:w="2045"/>
          </w:tcPr>
          <w:p>
            <w:r>
              <w:t>Security baseline</w:t>
            </w:r>
          </w:p>
        </w:tc>
        <w:tc>
          <w:tcPr>
            <w:tcW w:type="dxa" w:w="2045"/>
          </w:tcPr>
          <w:p>
            <w:r>
              <w:t>Wire authentication mechanism, application-boundary authorization, TLS deployment assumption, secrets and redaction rules.</w:t>
            </w:r>
          </w:p>
        </w:tc>
        <w:tc>
          <w:tcPr>
            <w:tcW w:type="dxa" w:w="2045"/>
          </w:tcPr>
          <w:p>
            <w:r>
              <w:t>ADR-013</w:t>
            </w:r>
          </w:p>
        </w:tc>
        <w:tc>
          <w:tcPr>
            <w:tcW w:type="dxa" w:w="2045"/>
          </w:tcPr>
          <w:p>
            <w:r>
              <w:t>Unauthorized access tests pass; secrets/sensitive fields absent from logs.</w:t>
            </w:r>
          </w:p>
        </w:tc>
      </w:tr>
      <w:tr>
        <w:tc>
          <w:tcPr>
            <w:tcW w:type="dxa" w:w="2045"/>
          </w:tcPr>
          <w:p>
            <w:r>
              <w:t>WP-16</w:t>
            </w:r>
          </w:p>
        </w:tc>
        <w:tc>
          <w:tcPr>
            <w:tcW w:type="dxa" w:w="2045"/>
          </w:tcPr>
          <w:p>
            <w:r>
              <w:t>Observability baseline</w:t>
            </w:r>
          </w:p>
        </w:tc>
        <w:tc>
          <w:tcPr>
            <w:tcW w:type="dxa" w:w="2045"/>
          </w:tcPr>
          <w:p>
            <w:r>
              <w:t>Structured logs, metrics, DB pool metrics, order/payment/reservation counters, trace context, health/readiness.</w:t>
            </w:r>
          </w:p>
        </w:tc>
        <w:tc>
          <w:tcPr>
            <w:tcW w:type="dxa" w:w="2045"/>
          </w:tcPr>
          <w:p>
            <w:r>
              <w:t>ADR-011</w:t>
            </w:r>
          </w:p>
        </w:tc>
        <w:tc>
          <w:tcPr>
            <w:tcW w:type="dxa" w:w="2045"/>
          </w:tcPr>
          <w:p>
            <w:r>
              <w:t>Request can be correlated end-to-end; p50/p95/p99 and error rate measurable.</w:t>
            </w:r>
          </w:p>
        </w:tc>
      </w:tr>
      <w:tr>
        <w:tc>
          <w:tcPr>
            <w:tcW w:type="dxa" w:w="2045"/>
          </w:tcPr>
          <w:p>
            <w:r>
              <w:t>WP-17</w:t>
            </w:r>
          </w:p>
        </w:tc>
        <w:tc>
          <w:tcPr>
            <w:tcW w:type="dxa" w:w="2045"/>
          </w:tcPr>
          <w:p>
            <w:r>
              <w:t>Full integration &amp; failure suite</w:t>
            </w:r>
          </w:p>
        </w:tc>
        <w:tc>
          <w:tcPr>
            <w:tcW w:type="dxa" w:w="2045"/>
          </w:tcPr>
          <w:p>
            <w:r>
              <w:t>Run Testcontainers API, transaction, concurrency, idempotency, expiry, schema-isolation and crash-window tests.</w:t>
            </w:r>
          </w:p>
        </w:tc>
        <w:tc>
          <w:tcPr>
            <w:tcW w:type="dxa" w:w="2045"/>
          </w:tcPr>
          <w:p>
            <w:r>
              <w:t>ADR-006-013, 016-021</w:t>
            </w:r>
          </w:p>
        </w:tc>
        <w:tc>
          <w:tcPr>
            <w:tcW w:type="dxa" w:w="2045"/>
          </w:tcPr>
          <w:p>
            <w:r>
              <w:t>All Phase-1 correctness and architecture gates pass.</w:t>
            </w:r>
          </w:p>
        </w:tc>
      </w:tr>
      <w:tr>
        <w:tc>
          <w:tcPr>
            <w:tcW w:type="dxa" w:w="2045"/>
          </w:tcPr>
          <w:p>
            <w:r>
              <w:t>WP-18</w:t>
            </w:r>
          </w:p>
        </w:tc>
        <w:tc>
          <w:tcPr>
            <w:tcW w:type="dxa" w:w="2045"/>
          </w:tcPr>
          <w:p>
            <w:r>
              <w:t>Performance baseline</w:t>
            </w:r>
          </w:p>
        </w:tc>
        <w:tc>
          <w:tcPr>
            <w:tcW w:type="dxa" w:w="2045"/>
          </w:tcPr>
          <w:p>
            <w:r>
              <w:t>Create repeatable normal-load and hot-SKU scenarios; record throughput, p50/p95/p99, errors, DB/lock/pool behavior.</w:t>
            </w:r>
          </w:p>
        </w:tc>
        <w:tc>
          <w:tcPr>
            <w:tcW w:type="dxa" w:w="2045"/>
          </w:tcPr>
          <w:p>
            <w:r>
              <w:t>ADR-011, 015</w:t>
            </w:r>
          </w:p>
        </w:tc>
        <w:tc>
          <w:tcPr>
            <w:tcW w:type="dxa" w:w="2045"/>
          </w:tcPr>
          <w:p>
            <w:r>
              <w:t>Baseline report exists; no premature scale claim.</w:t>
            </w:r>
          </w:p>
        </w:tc>
      </w:tr>
      <w:tr>
        <w:tc>
          <w:tcPr>
            <w:tcW w:type="dxa" w:w="2045"/>
          </w:tcPr>
          <w:p>
            <w:r>
              <w:t>WP-19</w:t>
            </w:r>
          </w:p>
        </w:tc>
        <w:tc>
          <w:tcPr>
            <w:tcW w:type="dxa" w:w="2045"/>
          </w:tcPr>
          <w:p>
            <w:r>
              <w:t>Phase-1 architecture acceptance</w:t>
            </w:r>
          </w:p>
        </w:tc>
        <w:tc>
          <w:tcPr>
            <w:tcW w:type="dxa" w:w="2045"/>
          </w:tcPr>
          <w:p>
            <w:r>
              <w:t>Review implementation against Architecture v1.2 and ADR-001..022; document deviations with new/superseding ADRs.</w:t>
            </w:r>
          </w:p>
        </w:tc>
        <w:tc>
          <w:tcPr>
            <w:tcW w:type="dxa" w:w="2045"/>
          </w:tcPr>
          <w:p>
            <w:r>
              <w:t>All</w:t>
            </w:r>
          </w:p>
        </w:tc>
        <w:tc>
          <w:tcPr>
            <w:tcW w:type="dxa" w:w="2045"/>
          </w:tcPr>
          <w:p>
            <w:r>
              <w:t>Definition of Done signed off; architecture baseline frozen for Phase 2.</w:t>
            </w:r>
          </w:p>
        </w:tc>
      </w:tr>
    </w:tbl>
    <w:p>
      <w:pPr>
        <w:spacing w:before="200" w:after="80"/>
      </w:pPr>
      <w:r>
        <w:rPr>
          <w:b/>
          <w:sz w:val="32"/>
        </w:rPr>
        <w:t>5. Critical Domain State Machines</w:t>
      </w:r>
    </w:p>
    <w:p>
      <w:pPr>
        <w:spacing w:before="200" w:after="80"/>
      </w:pPr>
      <w:r>
        <w:rPr>
          <w:b/>
          <w:sz w:val="24"/>
        </w:rPr>
        <w:t>5.1 Order</w:t>
      </w:r>
    </w:p>
    <w:p>
      <w:r>
        <w:t>PENDING_PAYMENT</w:t>
        <w:br/>
        <w:t xml:space="preserve">   | payment authorized</w:t>
        <w:br/>
        <w:t xml:space="preserve">   v</w:t>
        <w:br/>
        <w:t xml:space="preserve">  PAID</w:t>
        <w:br/>
        <w:t xml:space="preserve">   |</w:t>
        <w:br/>
        <w:t xml:space="preserve">   | eligible cancellation</w:t>
        <w:br/>
        <w:t xml:space="preserve">   v</w:t>
        <w:br/>
        <w:t>CANCELLED</w:t>
        <w:br/>
        <w:br/>
        <w:t>PENDING_PAYMENT -- authorization failure --&gt; PAYMENT_FAILED</w:t>
        <w:br/>
        <w:t>PENDING_PAYMENT -- eligible cancellation --&gt; CANCELLED</w:t>
      </w:r>
    </w:p>
    <w:p>
      <w:r>
        <w:t>Before coding WP-08/WP-13, cancellation semantics after PAID must be made explicit: simple cancellation, refund-required state, or deferred to a later phase. Do not silently invent refund behavior.</w:t>
      </w:r>
    </w:p>
    <w:p>
      <w:pPr>
        <w:spacing w:before="200" w:after="80"/>
      </w:pPr>
      <w:r>
        <w:rPr>
          <w:b/>
          <w:sz w:val="24"/>
        </w:rPr>
        <w:t>5.2 Inventory Reservation</w:t>
      </w:r>
    </w:p>
    <w:p>
      <w:r>
        <w:t>RESERVED -- payment success --&gt; CONFIRMED</w:t>
        <w:br/>
        <w:t xml:space="preserve">    |</w:t>
        <w:br/>
        <w:t xml:space="preserve">    +-- cancellation/payment-failure release --&gt; RELEASED</w:t>
        <w:br/>
        <w:t xml:space="preserve">    |</w:t>
        <w:br/>
        <w:t xml:space="preserve">    +-- TTL elapsed + sweeper --&gt; EXPIRED</w:t>
        <w:br/>
        <w:br/>
        <w:t>RELEASED/EXPIRED transition:</w:t>
        <w:br/>
        <w:t>reservation status change + available_quantity restoration = one DB transaction</w:t>
      </w:r>
    </w:p>
    <w:p>
      <w:pPr>
        <w:spacing w:before="200" w:after="80"/>
      </w:pPr>
      <w:r>
        <w:rPr>
          <w:b/>
          <w:sz w:val="32"/>
        </w:rPr>
        <w:t>6. Transaction Boundaries</w:t>
      </w:r>
    </w:p>
    <w:p>
      <w:r>
        <w:t>TX-1: Place Order</w:t>
        <w:br/>
        <w:t xml:space="preserve">  validate references + authoritative Catalog price</w:t>
        <w:br/>
        <w:t xml:space="preserve">  reserve inventory</w:t>
        <w:br/>
        <w:t xml:space="preserve">  create PENDING_PAYMENT order</w:t>
        <w:br/>
        <w:t xml:space="preserve">  persist OrderPlaced outbox event</w:t>
        <w:br/>
        <w:t xml:space="preserve">  persist/update idempotency processing state</w:t>
        <w:br/>
        <w:t xml:space="preserve">  COMMIT</w:t>
        <w:br/>
        <w:br/>
        <w:t>NO DB TRANSACTION:</w:t>
        <w:br/>
        <w:t xml:space="preserve">  PaymentPort.authorize(...)</w:t>
        <w:br/>
        <w:br/>
        <w:t>TX-2: Apply Payment Result</w:t>
        <w:br/>
        <w:t xml:space="preserve">  record payment result</w:t>
        <w:br/>
        <w:t xml:space="preserve">  transition order to PAID or PAYMENT_FAILED</w:t>
        <w:br/>
        <w:t xml:space="preserve">  confirm/release reservation as defined</w:t>
        <w:br/>
        <w:t xml:space="preserve">  persist PaymentAuthorized/PaymentFailed outbox event</w:t>
        <w:br/>
        <w:t xml:space="preserve">  persist canonical idempotent response</w:t>
        <w:br/>
        <w:t xml:space="preserve">  COMMIT</w:t>
      </w:r>
    </w:p>
    <w:p>
      <w:pPr>
        <w:spacing w:before="200" w:after="80"/>
      </w:pPr>
      <w:r>
        <w:rPr>
          <w:b/>
          <w:sz w:val="32"/>
        </w:rPr>
        <w:t>7. Test Matrix</w:t>
      </w:r>
    </w:p>
    <w:tbl>
      <w:tblPr>
        <w:tblStyle w:val="TableGrid"/>
        <w:tblW w:type="auto" w:w="0"/>
        <w:tblLook w:firstColumn="1" w:firstRow="1" w:lastColumn="0" w:lastRow="0" w:noHBand="0" w:noVBand="1" w:val="04A0"/>
      </w:tblPr>
      <w:tblGrid>
        <w:gridCol w:w="3408"/>
        <w:gridCol w:w="3408"/>
        <w:gridCol w:w="3408"/>
      </w:tblGrid>
      <w:tr>
        <w:tc>
          <w:tcPr>
            <w:tcW w:type="dxa" w:w="3408"/>
            <w:shd w:fill="DCE6F1"/>
          </w:tcPr>
          <w:p>
            <w:r>
              <w:t>Test layer</w:t>
            </w:r>
          </w:p>
        </w:tc>
        <w:tc>
          <w:tcPr>
            <w:tcW w:type="dxa" w:w="3408"/>
            <w:shd w:fill="DCE6F1"/>
          </w:tcPr>
          <w:p>
            <w:r>
              <w:t>Required coverage</w:t>
            </w:r>
          </w:p>
        </w:tc>
        <w:tc>
          <w:tcPr>
            <w:tcW w:type="dxa" w:w="3408"/>
            <w:shd w:fill="DCE6F1"/>
          </w:tcPr>
          <w:p>
            <w:r>
              <w:t>Gate</w:t>
            </w:r>
          </w:p>
        </w:tc>
      </w:tr>
      <w:tr>
        <w:tc>
          <w:tcPr>
            <w:tcW w:type="dxa" w:w="3408"/>
          </w:tcPr>
          <w:p>
            <w:r>
              <w:t>Domain</w:t>
            </w:r>
          </w:p>
        </w:tc>
        <w:tc>
          <w:tcPr>
            <w:tcW w:type="dxa" w:w="3408"/>
          </w:tcPr>
          <w:p>
            <w:r>
              <w:t>Money, Order, Cart, reservation state transitions, cancellation invariants</w:t>
            </w:r>
          </w:p>
        </w:tc>
        <w:tc>
          <w:tcPr>
            <w:tcW w:type="dxa" w:w="3408"/>
          </w:tcPr>
          <w:p>
            <w:r>
              <w:t>Fast unit tests; no Spring.</w:t>
            </w:r>
          </w:p>
        </w:tc>
      </w:tr>
      <w:tr>
        <w:tc>
          <w:tcPr>
            <w:tcW w:type="dxa" w:w="3408"/>
          </w:tcPr>
          <w:p>
            <w:r>
              <w:t>Architecture</w:t>
            </w:r>
          </w:p>
        </w:tc>
        <w:tc>
          <w:tcPr>
            <w:tcW w:type="dxa" w:w="3408"/>
          </w:tcPr>
          <w:p>
            <w:r>
              <w:t>Dependencies, cycles, adapters/ports, forbidden inventory save path</w:t>
            </w:r>
          </w:p>
        </w:tc>
        <w:tc>
          <w:tcPr>
            <w:tcW w:type="dxa" w:w="3408"/>
          </w:tcPr>
          <w:p>
            <w:r>
              <w:t>CI blocking.</w:t>
            </w:r>
          </w:p>
        </w:tc>
      </w:tr>
      <w:tr>
        <w:tc>
          <w:tcPr>
            <w:tcW w:type="dxa" w:w="3408"/>
          </w:tcPr>
          <w:p>
            <w:r>
              <w:t>Persistence</w:t>
            </w:r>
          </w:p>
        </w:tc>
        <w:tc>
          <w:tcPr>
            <w:tcW w:type="dxa" w:w="3408"/>
          </w:tcPr>
          <w:p>
            <w:r>
              <w:t>Flyway, repositories, constraints, schema grants</w:t>
            </w:r>
          </w:p>
        </w:tc>
        <w:tc>
          <w:tcPr>
            <w:tcW w:type="dxa" w:w="3408"/>
          </w:tcPr>
          <w:p>
            <w:r>
              <w:t>Real PostgreSQL Testcontainers.</w:t>
            </w:r>
          </w:p>
        </w:tc>
      </w:tr>
      <w:tr>
        <w:tc>
          <w:tcPr>
            <w:tcW w:type="dxa" w:w="3408"/>
          </w:tcPr>
          <w:p>
            <w:r>
              <w:t>Concurrency</w:t>
            </w:r>
          </w:p>
        </w:tc>
        <w:tc>
          <w:tcPr>
            <w:tcW w:type="dxa" w:w="3408"/>
          </w:tcPr>
          <w:p>
            <w:r>
              <w:t>Hot-SKU competing reservations; expiry/payment races</w:t>
            </w:r>
          </w:p>
        </w:tc>
        <w:tc>
          <w:tcPr>
            <w:tcW w:type="dxa" w:w="3408"/>
          </w:tcPr>
          <w:p>
            <w:r>
              <w:t>No oversell, no double release.</w:t>
            </w:r>
          </w:p>
        </w:tc>
      </w:tr>
      <w:tr>
        <w:tc>
          <w:tcPr>
            <w:tcW w:type="dxa" w:w="3408"/>
          </w:tcPr>
          <w:p>
            <w:r>
              <w:t>Idempotency</w:t>
            </w:r>
          </w:p>
        </w:tc>
        <w:tc>
          <w:tcPr>
            <w:tcW w:type="dxa" w:w="3408"/>
          </w:tcPr>
          <w:p>
            <w:r>
              <w:t>Concurrent same-key requests; same-key changed body; crash retry</w:t>
            </w:r>
          </w:p>
        </w:tc>
        <w:tc>
          <w:tcPr>
            <w:tcW w:type="dxa" w:w="3408"/>
          </w:tcPr>
          <w:p>
            <w:r>
              <w:t>One business effect; deterministic response.</w:t>
            </w:r>
          </w:p>
        </w:tc>
      </w:tr>
      <w:tr>
        <w:tc>
          <w:tcPr>
            <w:tcW w:type="dxa" w:w="3408"/>
          </w:tcPr>
          <w:p>
            <w:r>
              <w:t>Payment failure</w:t>
            </w:r>
          </w:p>
        </w:tc>
        <w:tc>
          <w:tcPr>
            <w:tcW w:type="dxa" w:w="3408"/>
          </w:tcPr>
          <w:p>
            <w:r>
              <w:t>Timeout/error/crash after TX-1 and around TX-2</w:t>
            </w:r>
          </w:p>
        </w:tc>
        <w:tc>
          <w:tcPr>
            <w:tcW w:type="dxa" w:w="3408"/>
          </w:tcPr>
          <w:p>
            <w:r>
              <w:t>Recoverable PENDING_PAYMENT; no duplicate reservation/payment.</w:t>
            </w:r>
          </w:p>
        </w:tc>
      </w:tr>
      <w:tr>
        <w:tc>
          <w:tcPr>
            <w:tcW w:type="dxa" w:w="3408"/>
          </w:tcPr>
          <w:p>
            <w:r>
              <w:t>API</w:t>
            </w:r>
          </w:p>
        </w:tc>
        <w:tc>
          <w:tcPr>
            <w:tcW w:type="dxa" w:w="3408"/>
          </w:tcPr>
          <w:p>
            <w:r>
              <w:t>Validation, error codes, PRICE_CHANGED, correlationId</w:t>
            </w:r>
          </w:p>
        </w:tc>
        <w:tc>
          <w:tcPr>
            <w:tcW w:type="dxa" w:w="3408"/>
          </w:tcPr>
          <w:p>
            <w:r>
              <w:t>Stable client contract.</w:t>
            </w:r>
          </w:p>
        </w:tc>
      </w:tr>
      <w:tr>
        <w:tc>
          <w:tcPr>
            <w:tcW w:type="dxa" w:w="3408"/>
          </w:tcPr>
          <w:p>
            <w:r>
              <w:t>Security</w:t>
            </w:r>
          </w:p>
        </w:tc>
        <w:tc>
          <w:tcPr>
            <w:tcW w:type="dxa" w:w="3408"/>
          </w:tcPr>
          <w:p>
            <w:r>
              <w:t>Authentication/authorization, secret/log redaction</w:t>
            </w:r>
          </w:p>
        </w:tc>
        <w:tc>
          <w:tcPr>
            <w:tcW w:type="dxa" w:w="3408"/>
          </w:tcPr>
          <w:p>
            <w:r>
              <w:t>Least privilege.</w:t>
            </w:r>
          </w:p>
        </w:tc>
      </w:tr>
      <w:tr>
        <w:tc>
          <w:tcPr>
            <w:tcW w:type="dxa" w:w="3408"/>
          </w:tcPr>
          <w:p>
            <w:r>
              <w:t>Performance</w:t>
            </w:r>
          </w:p>
        </w:tc>
        <w:tc>
          <w:tcPr>
            <w:tcW w:type="dxa" w:w="3408"/>
          </w:tcPr>
          <w:p>
            <w:r>
              <w:t>Normal load + hot SKU</w:t>
            </w:r>
          </w:p>
        </w:tc>
        <w:tc>
          <w:tcPr>
            <w:tcW w:type="dxa" w:w="3408"/>
          </w:tcPr>
          <w:p>
            <w:r>
              <w:t>Baseline throughput/latency/error/DB contention.</w:t>
            </w:r>
          </w:p>
        </w:tc>
      </w:tr>
    </w:tbl>
    <w:p>
      <w:pPr>
        <w:spacing w:before="200" w:after="80"/>
      </w:pPr>
      <w:r>
        <w:rPr>
          <w:b/>
          <w:sz w:val="32"/>
        </w:rPr>
        <w:t>8. Suggested Milestones</w:t>
      </w:r>
    </w:p>
    <w:p>
      <w:pPr>
        <w:ind w:left="288"/>
      </w:pPr>
      <w:r>
        <w:t>• M1 - Foundation: WP-00 to WP-03. Build, DB, architecture tests and shared primitives are stable.</w:t>
      </w:r>
    </w:p>
    <w:p>
      <w:pPr>
        <w:ind w:left="288"/>
      </w:pPr>
      <w:r>
        <w:t>• M2 - Shopping core: WP-04 to WP-07. Catalog, Cart and concurrency-safe Inventory are complete.</w:t>
      </w:r>
    </w:p>
    <w:p>
      <w:pPr>
        <w:ind w:left="288"/>
      </w:pPr>
      <w:r>
        <w:t>• M3 - Order correctness: WP-08 to WP-13. Order, idempotency, payment sequencing, outbox and cancellation are complete.</w:t>
      </w:r>
    </w:p>
    <w:p>
      <w:pPr>
        <w:ind w:left="288"/>
      </w:pPr>
      <w:r>
        <w:t>• M4 - Production baseline: WP-14 to WP-18. API, security, observability, integration/failure tests and load baseline are complete.</w:t>
      </w:r>
    </w:p>
    <w:p>
      <w:pPr>
        <w:ind w:left="288"/>
      </w:pPr>
      <w:r>
        <w:t>• M5 - Phase-1 acceptance: WP-19. Architecture/ADR conformance reviewed and Phase-2 evidence captured.</w:t>
      </w:r>
    </w:p>
    <w:p>
      <w:pPr>
        <w:spacing w:before="200" w:after="80"/>
      </w:pPr>
      <w:r>
        <w:rPr>
          <w:b/>
          <w:sz w:val="32"/>
        </w:rPr>
        <w:t>9. Definition of Done</w:t>
      </w:r>
    </w:p>
    <w:p>
      <w:pPr>
        <w:ind w:left="288"/>
      </w:pPr>
      <w:r>
        <w:t>• Bounded contexts and ports/adapters implemented with CI-enforced dependency rules.</w:t>
      </w:r>
    </w:p>
    <w:p>
      <w:pPr>
        <w:ind w:left="288"/>
      </w:pPr>
      <w:r>
        <w:t>• Flyway builds all module schemas from zero; least-privilege schema grants are verified.</w:t>
      </w:r>
    </w:p>
    <w:p>
      <w:pPr>
        <w:ind w:left="288"/>
      </w:pPr>
      <w:r>
        <w:t>• Inventory concurrency tests prove no overselling through the canonical conditional UPDATE.</w:t>
      </w:r>
    </w:p>
    <w:p>
      <w:pPr>
        <w:ind w:left="288"/>
      </w:pPr>
      <w:r>
        <w:t>• Inventory is reserved only at order placement; 15-minute expiry/release restores stock atomically.</w:t>
      </w:r>
    </w:p>
    <w:p>
      <w:pPr>
        <w:ind w:left="288"/>
      </w:pPr>
      <w:r>
        <w:t>• Order/payment retries are idempotent; changed request under the same key is rejected.</w:t>
      </w:r>
    </w:p>
    <w:p>
      <w:pPr>
        <w:ind w:left="288"/>
      </w:pPr>
      <w:r>
        <w:t>• Payment authorization occurs outside an open DB transaction; crash-window recovery is demonstrated.</w:t>
      </w:r>
    </w:p>
    <w:p>
      <w:pPr>
        <w:ind w:left="288"/>
      </w:pPr>
      <w:r>
        <w:t>• Outbox writes are transactional but no Phase-1 publisher exists.</w:t>
      </w:r>
    </w:p>
    <w:p>
      <w:pPr>
        <w:ind w:left="288"/>
      </w:pPr>
      <w:r>
        <w:t>• Money and price-authority rules are deterministic and covered by tests.</w:t>
      </w:r>
    </w:p>
    <w:p>
      <w:pPr>
        <w:ind w:left="288"/>
      </w:pPr>
      <w:r>
        <w:t>• Security, logs, metrics, health/readiness and correlation/trace context are operational.</w:t>
      </w:r>
    </w:p>
    <w:p>
      <w:pPr>
        <w:ind w:left="288"/>
      </w:pPr>
      <w:r>
        <w:t>• Normal-load and hot-SKU performance baselines are captured.</w:t>
      </w:r>
    </w:p>
    <w:p>
      <w:pPr>
        <w:ind w:left="288"/>
      </w:pPr>
      <w:r>
        <w:t>• Any implementation deviation from ADR-001..022 is documented through a new or superseding ADR.</w:t>
      </w:r>
    </w:p>
    <w:p>
      <w:pPr>
        <w:spacing w:before="200" w:after="80"/>
      </w:pPr>
      <w:r>
        <w:rPr>
          <w:b/>
          <w:sz w:val="32"/>
        </w:rPr>
        <w:t>10. Open Decisions Before Relevant Work Packages</w:t>
      </w:r>
    </w:p>
    <w:p>
      <w:pPr>
        <w:ind w:left="288"/>
      </w:pPr>
      <w:r>
        <w:t>• Concrete Phase-1 authentication provider/mechanism - resolve before WP-15.</w:t>
      </w:r>
    </w:p>
    <w:p>
      <w:pPr>
        <w:ind w:left="288"/>
      </w:pPr>
      <w:r>
        <w:t>• Exact cancellation/refund semantics, especially after PAID - resolve before WP-08/WP-13.</w:t>
      </w:r>
    </w:p>
    <w:p>
      <w:pPr>
        <w:ind w:left="288"/>
      </w:pPr>
      <w:r>
        <w:t>• Initial load-test workload, dataset and acceptance baseline - resolve before WP-18.</w:t>
      </w:r>
    </w:p>
    <w:p>
      <w:pPr>
        <w:ind w:left="288"/>
      </w:pPr>
      <w:r>
        <w:t>• Whether the Phase-1 PaymentPort uses only a simulated adapter or also a real sandbox PSP - resolve before WP-12.</w:t>
      </w:r>
    </w:p>
    <w:p>
      <w:pPr>
        <w:spacing w:before="200" w:after="80"/>
      </w:pPr>
      <w:r>
        <w:rPr>
          <w:b/>
          <w:sz w:val="32"/>
        </w:rPr>
        <w:t>11. Principal Engineer Implementation Narrative</w:t>
      </w:r>
    </w:p>
    <w:p>
      <w:r>
        <w:t>"I convert architecture into incremental, testable vertical slices. Each work package traces back to an ADR and has objective exit evidence. Correctness-sensitive behavior - inventory concurrency, idempotency, money and transaction boundaries - is implemented and tested before scaling. I preserve a single deployable until measurements justify distribution, while module boundaries, schema grants, ports/adapters and architecture fitness tests keep later extraction feasible."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System Design Lab | Phase 1 Implementation Plan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