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t>Version 1.2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t>Java 21/25 • Spring Boot / Spring Security • Spring Authorization Server (custom IdP/Auth Server) • OIDC/OAuth • WebAuthn/Passkeys • BFF • Kubernetes • SPIFFE/SPIRE • mTLS • OPA-style policy decisioning • Kafka • PostgreSQL • Vault/KMS/HSM • Sigstore/Cosign • Trivy • SIEM</w:t>
      </w:r>
    </w:p>
    <w:p>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t>Reference-comparison finding (Keycloak, not runtime dependency):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Custom Java Authorization Server]</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19. Key ADRs to Create</w:t>
      </w:r>
    </w:p>
    <w:p>
      <w:pPr>
        <w:pStyle w:val="ListBullet"/>
      </w:pPr>
      <w:r>
        <w:t>ADR-SEC-001: BFF vs browser-held OAuth tokens</w:t>
      </w:r>
    </w:p>
    <w:p>
      <w:pPr>
        <w:pStyle w:val="ListBullet"/>
      </w:pPr>
      <w:r>
        <w:t>ADR-SEC-002: Access-token format, TTL and revocation SLA</w:t>
      </w:r>
    </w:p>
    <w:p>
      <w:pPr>
        <w:pStyle w:val="ListBullet"/>
      </w:pPr>
      <w:r>
        <w:t>ADR-SEC-003: token_valid_after/security-epoch model</w:t>
      </w:r>
    </w:p>
    <w:p>
      <w:pPr>
        <w:pStyle w:val="ListBullet"/>
      </w:pPr>
      <w:r>
        <w:t>ADR-SEC-004: Refresh-token rotation and reuse response</w:t>
      </w:r>
    </w:p>
    <w:p>
      <w:pPr>
        <w:pStyle w:val="ListBullet"/>
      </w:pPr>
      <w:r>
        <w:t>ADR-SEC-005: RBAC + ABAC + domain-authorization boundaries</w:t>
      </w:r>
    </w:p>
    <w:p>
      <w:pPr>
        <w:pStyle w:val="ListBullet"/>
      </w:pPr>
      <w:r>
        <w:t>ADR-SEC-006: SPIFFE/SPIRE workload identity and trust-domain topology</w:t>
      </w:r>
    </w:p>
    <w:p>
      <w:pPr>
        <w:pStyle w:val="ListBullet"/>
      </w:pPr>
      <w:r>
        <w:t>ADR-SEC-007: Service-to-service token exchange/downscoping</w:t>
      </w:r>
    </w:p>
    <w:p>
      <w:pPr>
        <w:pStyle w:val="ListBullet"/>
      </w:pPr>
      <w:r>
        <w:t>ADR-SEC-008: Sender-constrained token adoption scope (DPoP/mTLS)</w:t>
      </w:r>
    </w:p>
    <w:p>
      <w:pPr>
        <w:pStyle w:val="ListBullet"/>
      </w:pPr>
      <w:r>
        <w:t>ADR-SEC-009: Secrets/KMS/HSM and key-rotation lifecycle</w:t>
      </w:r>
    </w:p>
    <w:p>
      <w:pPr>
        <w:pStyle w:val="ListBullet"/>
      </w:pPr>
      <w:r>
        <w:t>ADR-SEC-010: Software supply-chain signing/provenance/admission</w:t>
      </w:r>
    </w:p>
    <w:p>
      <w:pPr>
        <w:pStyle w:val="ListBullet"/>
      </w:pPr>
      <w:r>
        <w:t>ADR-SEC-011: Security telemetry schema and incident revocation</w:t>
      </w:r>
    </w:p>
    <w:p>
      <w:pPr>
        <w:pStyle w:val="ListBullet"/>
      </w:pPr>
      <w:r>
        <w:t>ADR-SEC-012: Fail-open/fail-closed matrix for security dependencies</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p>
      <w:r/>
    </w:p>
    <w:p>
      <w:pPr>
        <w:pStyle w:val="Heading1"/>
      </w:pPr>
      <w:r>
        <w:t>23. Architecture Update v1.2 - Custom Authentication &amp; Authorization Platform</w:t>
      </w:r>
    </w:p>
    <w:p>
      <w:r>
        <w:t>Architecture decision: the runtime platform will not depend on Keycloak as its Identity Provider. For this engineering lab, authentication and authorization capabilities will be implemented as a custom Java identity platform using Spring Boot, Spring Security, Spring Authorization Server, PostgreSQL, and a dedicated Backend For Frontend (BFF). Keycloak may still be used as a reference implementation for standards comparison, but it is not part of the target runtime architecture.</w:t>
      </w:r>
    </w:p>
    <w:p>
      <w:r>
        <w:rPr>
          <w:b/>
        </w:rPr>
        <w:t xml:space="preserve">Why this change: </w:t>
      </w:r>
      <w:r>
        <w:t>the objective is to understand and implement the security mechanics directly: registration, login, OAuth/OIDC flows, Authorization Code + PKCE, MFA, passkeys/WebAuthn, session management, token issuance, refresh-token rotation, reuse detection, revocation, device management, fine-grained authorization, security telemetry, and Zero Trust enforcement.</w:t>
      </w:r>
    </w:p>
    <w:p>
      <w:pPr>
        <w:pStyle w:val="Heading2"/>
      </w:pPr>
      <w:r>
        <w:t>Target end-to-end architecture</w:t>
      </w:r>
    </w:p>
    <w:p>
      <w:pPr>
        <w:jc w:val="center"/>
      </w:pPr>
      <w:r/>
    </w:p>
    <w:p>
      <w:pPr>
        <w:jc w:val="center"/>
      </w:pPr>
      <w:r>
        <w:t>Figure 23-1. Target runtime architecture (normative text view; supersedes the earlier illustrative diagram).</w:t>
      </w:r>
    </w:p>
    <w:p>
      <w:pPr>
        <w:pStyle w:val="Heading2"/>
      </w:pPr>
      <w:r>
        <w:t>User-facing security capabilities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Purpose</w:t>
            </w:r>
          </w:p>
        </w:tc>
      </w:tr>
      <w:tr>
        <w:tc>
          <w:tcPr>
            <w:tcW w:type="dxa" w:w="5040"/>
          </w:tcPr>
          <w:p>
            <w:r>
              <w:t>Registration</w:t>
            </w:r>
          </w:p>
        </w:tc>
        <w:tc>
          <w:tcPr>
            <w:tcW w:type="dxa" w:w="5040"/>
          </w:tcPr>
          <w:p>
            <w:r>
              <w:t>Create account and initiate identity verification</w:t>
            </w:r>
          </w:p>
        </w:tc>
      </w:tr>
      <w:tr>
        <w:tc>
          <w:tcPr>
            <w:tcW w:type="dxa" w:w="5040"/>
          </w:tcPr>
          <w:p>
            <w:r>
              <w:t>Login</w:t>
            </w:r>
          </w:p>
        </w:tc>
        <w:tc>
          <w:tcPr>
            <w:tcW w:type="dxa" w:w="5040"/>
          </w:tcPr>
          <w:p>
            <w:r>
              <w:t>Authenticate with password/passkey and required assurance level</w:t>
            </w:r>
          </w:p>
        </w:tc>
      </w:tr>
      <w:tr>
        <w:tc>
          <w:tcPr>
            <w:tcW w:type="dxa" w:w="5040"/>
          </w:tcPr>
          <w:p>
            <w:r>
              <w:t>Email verification</w:t>
            </w:r>
          </w:p>
        </w:tc>
        <w:tc>
          <w:tcPr>
            <w:tcW w:type="dxa" w:w="5040"/>
          </w:tcPr>
          <w:p>
            <w:r>
              <w:t>Verify ownership of the registered email address</w:t>
            </w:r>
          </w:p>
        </w:tc>
      </w:tr>
      <w:tr>
        <w:tc>
          <w:tcPr>
            <w:tcW w:type="dxa" w:w="5040"/>
          </w:tcPr>
          <w:p>
            <w:r>
              <w:t>MFA setup</w:t>
            </w:r>
          </w:p>
        </w:tc>
        <w:tc>
          <w:tcPr>
            <w:tcW w:type="dxa" w:w="5040"/>
          </w:tcPr>
          <w:p>
            <w:r>
              <w:t>Enroll and manage a second factor</w:t>
            </w:r>
          </w:p>
        </w:tc>
      </w:tr>
      <w:tr>
        <w:tc>
          <w:tcPr>
            <w:tcW w:type="dxa" w:w="5040"/>
          </w:tcPr>
          <w:p>
            <w:r>
              <w:t>Passkey setup</w:t>
            </w:r>
          </w:p>
        </w:tc>
        <w:tc>
          <w:tcPr>
            <w:tcW w:type="dxa" w:w="5040"/>
          </w:tcPr>
          <w:p>
            <w:r>
              <w:t>Register and manage WebAuthn/FIDO2 passkeys</w:t>
            </w:r>
          </w:p>
        </w:tc>
      </w:tr>
      <w:tr>
        <w:tc>
          <w:tcPr>
            <w:tcW w:type="dxa" w:w="5040"/>
          </w:tcPr>
          <w:p>
            <w:r>
              <w:t>Forgot password</w:t>
            </w:r>
          </w:p>
        </w:tc>
        <w:tc>
          <w:tcPr>
            <w:tcW w:type="dxa" w:w="5040"/>
          </w:tcPr>
          <w:p>
            <w:r>
              <w:t>Start controlled account recovery</w:t>
            </w:r>
          </w:p>
        </w:tc>
      </w:tr>
      <w:tr>
        <w:tc>
          <w:tcPr>
            <w:tcW w:type="dxa" w:w="5040"/>
          </w:tcPr>
          <w:p>
            <w:r>
              <w:t>Reset password</w:t>
            </w:r>
          </w:p>
        </w:tc>
        <w:tc>
          <w:tcPr>
            <w:tcW w:type="dxa" w:w="5040"/>
          </w:tcPr>
          <w:p>
            <w:r>
              <w:t>Perform secure credential reset</w:t>
            </w:r>
          </w:p>
        </w:tc>
      </w:tr>
      <w:tr>
        <w:tc>
          <w:tcPr>
            <w:tcW w:type="dxa" w:w="5040"/>
          </w:tcPr>
          <w:p>
            <w:r>
              <w:t>Account security</w:t>
            </w:r>
          </w:p>
        </w:tc>
        <w:tc>
          <w:tcPr>
            <w:tcW w:type="dxa" w:w="5040"/>
          </w:tcPr>
          <w:p>
            <w:r>
              <w:t>Manage security settings and authentication methods</w:t>
            </w:r>
          </w:p>
        </w:tc>
      </w:tr>
      <w:tr>
        <w:tc>
          <w:tcPr>
            <w:tcW w:type="dxa" w:w="5040"/>
          </w:tcPr>
          <w:p>
            <w:r>
              <w:t>Active sessions/devices</w:t>
            </w:r>
          </w:p>
        </w:tc>
        <w:tc>
          <w:tcPr>
            <w:tcW w:type="dxa" w:w="5040"/>
          </w:tcPr>
          <w:p>
            <w:r>
              <w:t>View logged-in devices and session metadata</w:t>
            </w:r>
          </w:p>
        </w:tc>
      </w:tr>
      <w:tr>
        <w:tc>
          <w:tcPr>
            <w:tcW w:type="dxa" w:w="5040"/>
          </w:tcPr>
          <w:p>
            <w:r>
              <w:t>Revoke session</w:t>
            </w:r>
          </w:p>
        </w:tc>
        <w:tc>
          <w:tcPr>
            <w:tcW w:type="dxa" w:w="5040"/>
          </w:tcPr>
          <w:p>
            <w:r>
              <w:t>Terminate a selected device/session</w:t>
            </w:r>
          </w:p>
        </w:tc>
      </w:tr>
      <w:tr>
        <w:tc>
          <w:tcPr>
            <w:tcW w:type="dxa" w:w="5040"/>
          </w:tcPr>
          <w:p>
            <w:r>
              <w:t>Logout all devices</w:t>
            </w:r>
          </w:p>
        </w:tc>
        <w:tc>
          <w:tcPr>
            <w:tcW w:type="dxa" w:w="5040"/>
          </w:tcPr>
          <w:p>
            <w:r>
              <w:t>Globally terminate the user's active sessions</w:t>
            </w:r>
          </w:p>
        </w:tc>
      </w:tr>
      <w:tr>
        <w:tc>
          <w:tcPr>
            <w:tcW w:type="dxa" w:w="5040"/>
          </w:tcPr>
          <w:p>
            <w:r>
              <w:t>Security activity</w:t>
            </w:r>
          </w:p>
        </w:tc>
        <w:tc>
          <w:tcPr>
            <w:tcW w:type="dxa" w:w="5040"/>
          </w:tcPr>
          <w:p>
            <w:r>
              <w:t>View recent authentication and security events</w:t>
            </w:r>
          </w:p>
        </w:tc>
      </w:tr>
    </w:tbl>
    <w:p>
      <w:pPr>
        <w:pStyle w:val="Heading2"/>
      </w:pPr>
      <w:r>
        <w:t>Runtime component responsibilities</w:t>
      </w:r>
    </w:p>
    <w:p>
      <w:pPr>
        <w:pStyle w:val="ListBullet"/>
      </w:pPr>
      <w:r>
        <w:rPr>
          <w:b/>
        </w:rPr>
        <w:t xml:space="preserve">React UI: </w:t>
      </w:r>
      <w:r>
        <w:t>Registration/login/recovery/security-management UX. It never persistently stores access or refresh tokens.</w:t>
      </w:r>
    </w:p>
    <w:p>
      <w:pPr>
        <w:pStyle w:val="ListBullet"/>
      </w:pPr>
      <w:r>
        <w:rPr>
          <w:b/>
        </w:rPr>
        <w:t xml:space="preserve">Security BFF: </w:t>
      </w:r>
      <w:r>
        <w:t>Frontend-specific Spring Boot backend. Owns secure HttpOnly session cookies, CSRF controls, OAuth client interaction, token custody, frontend orchestration, and controlled API forwarding.</w:t>
      </w:r>
    </w:p>
    <w:p>
      <w:pPr>
        <w:pStyle w:val="ListBullet"/>
      </w:pPr>
      <w:r>
        <w:rPr>
          <w:b/>
        </w:rPr>
        <w:t xml:space="preserve">Authentication &amp; Authorization Server: </w:t>
      </w:r>
      <w:r>
        <w:t>Spring Boot + Spring Security + Spring Authorization Server. Owns user authentication, OAuth/OIDC, PKCE validation, token issuance, JWKS, key rotation hooks, revocation/introspection, MFA/passkeys, and identity/session lifecycle.</w:t>
      </w:r>
    </w:p>
    <w:p>
      <w:pPr>
        <w:pStyle w:val="ListBullet"/>
      </w:pPr>
      <w:r>
        <w:rPr>
          <w:b/>
        </w:rPr>
        <w:t xml:space="preserve">Resource Servers: </w:t>
      </w:r>
      <w:r>
        <w:t>Spring Boot APIs that validate issuer/audience/signature/expiry and enforce RBAC + ABAC + resource/domain authorization.</w:t>
      </w:r>
    </w:p>
    <w:p>
      <w:pPr>
        <w:pStyle w:val="ListBullet"/>
      </w:pPr>
      <w:r>
        <w:rPr>
          <w:b/>
        </w:rPr>
        <w:t xml:space="preserve">Identity Database: </w:t>
      </w:r>
      <w:r>
        <w:t>PostgreSQL storage for users, credentials, MFA devices, passkeys, sessions, refresh-token families, security state, and security events.</w:t>
      </w:r>
    </w:p>
    <w:p>
      <w:pPr>
        <w:pStyle w:val="ListBullet"/>
      </w:pPr>
      <w:r>
        <w:rPr>
          <w:b/>
        </w:rPr>
        <w:t xml:space="preserve">Policy Layer: </w:t>
      </w:r>
      <w:r>
        <w:t>Fine-grained authorization through PEP/PDP boundaries, with domain invariants remaining in Java.</w:t>
      </w:r>
    </w:p>
    <w:p>
      <w:pPr>
        <w:pStyle w:val="ListBullet"/>
      </w:pPr>
      <w:r>
        <w:rPr>
          <w:b/>
        </w:rPr>
        <w:t xml:space="preserve">Workload Security: </w:t>
      </w:r>
      <w:r>
        <w:t>SPIFFE/SPIRE identities and mTLS for east-west service authentication; network location is never sufficient trust.</w:t>
      </w:r>
    </w:p>
    <w:p>
      <w:pPr>
        <w:pStyle w:val="ListBullet"/>
      </w:pPr>
      <w:r>
        <w:rPr>
          <w:b/>
        </w:rPr>
        <w:t xml:space="preserve">Data/Messaging: </w:t>
      </w:r>
      <w:r>
        <w:t>Least-privilege PostgreSQL identities, Kafka authentication/ACLs, encryption, secrets management, and key separation.</w:t>
      </w:r>
    </w:p>
    <w:p>
      <w:pPr>
        <w:pStyle w:val="Heading2"/>
      </w:pPr>
      <w:r>
        <w:t>Authentication flow with BFF and PKCE</w:t>
      </w:r>
    </w:p>
    <w:p>
      <w:pPr>
        <w:pStyle w:val="ListNumber"/>
      </w:pPr>
      <w:r>
        <w:t>Browser requests login through the BFF.</w:t>
      </w:r>
    </w:p>
    <w:p>
      <w:pPr>
        <w:pStyle w:val="ListNumber"/>
      </w:pPr>
      <w:r>
        <w:t>BFF creates state, nonce, code_verifier and S256 code_challenge.</w:t>
      </w:r>
    </w:p>
    <w:p>
      <w:pPr>
        <w:pStyle w:val="ListNumber"/>
      </w:pPr>
      <w:r>
        <w:t>Browser is redirected to the custom Authorization Server.</w:t>
      </w:r>
    </w:p>
    <w:p>
      <w:pPr>
        <w:pStyle w:val="ListNumber"/>
      </w:pPr>
      <w:r>
        <w:t>Authorization Server authenticates the user and performs MFA/passkey step-up when required.</w:t>
      </w:r>
    </w:p>
    <w:p>
      <w:pPr>
        <w:pStyle w:val="ListNumber"/>
      </w:pPr>
      <w:r>
        <w:t>Authorization Server returns an authorization code to the registered callback.</w:t>
      </w:r>
    </w:p>
    <w:p>
      <w:pPr>
        <w:pStyle w:val="ListNumber"/>
      </w:pPr>
      <w:r>
        <w:t>BFF exchanges the code plus code_verifier at the token endpoint.</w:t>
      </w:r>
    </w:p>
    <w:p>
      <w:pPr>
        <w:pStyle w:val="ListNumber"/>
      </w:pPr>
      <w:r>
        <w:t>Authorization Server validates PKCE, client, redirect URI, code lifetime and replay state.</w:t>
      </w:r>
    </w:p>
    <w:p>
      <w:pPr>
        <w:pStyle w:val="ListNumber"/>
      </w:pPr>
      <w:r>
        <w:t>Tokens remain server-side; the browser receives only a hardened session cookie.</w:t>
      </w:r>
    </w:p>
    <w:p>
      <w:pPr>
        <w:pStyle w:val="ListNumber"/>
      </w:pPr>
      <w:r>
        <w:t>BFF calls protected Resource Servers with an audience-restricted access token.</w:t>
      </w:r>
    </w:p>
    <w:p>
      <w:pPr>
        <w:pStyle w:val="ListNumber"/>
      </w:pPr>
      <w:r>
        <w:t>Resource Servers perform authentication plus resource/domain authorization.</w:t>
      </w:r>
    </w:p>
    <w:p>
      <w:pPr>
        <w:pStyle w:val="Heading2"/>
      </w:pPr>
      <w:r>
        <w:t>Production implementation plan - 5 Work Packages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WP</w:t>
            </w:r>
          </w:p>
        </w:tc>
        <w:tc>
          <w:tcPr>
            <w:tcW w:type="dxa" w:w="2520"/>
          </w:tcPr>
          <w:p>
            <w:r>
              <w:t>Theme</w:t>
            </w:r>
          </w:p>
        </w:tc>
        <w:tc>
          <w:tcPr>
            <w:tcW w:type="dxa" w:w="2520"/>
          </w:tcPr>
          <w:p>
            <w:r>
              <w:t>Primary ADRs</w:t>
            </w:r>
          </w:p>
        </w:tc>
        <w:tc>
          <w:tcPr>
            <w:tcW w:type="dxa" w:w="2520"/>
          </w:tcPr>
          <w:p>
            <w:r>
              <w:t>Production outcome</w:t>
            </w:r>
          </w:p>
        </w:tc>
      </w:tr>
      <w:tr>
        <w:tc>
          <w:tcPr>
            <w:tcW w:type="dxa" w:w="2520"/>
          </w:tcPr>
          <w:p>
            <w:r>
              <w:t>WP-01</w:t>
            </w:r>
          </w:p>
        </w:tc>
        <w:tc>
          <w:tcPr>
            <w:tcW w:type="dxa" w:w="2520"/>
          </w:tcPr>
          <w:p>
            <w:r>
              <w:t>Zero Trust Foundation &amp; Strong Identity</w:t>
            </w:r>
          </w:p>
        </w:tc>
        <w:tc>
          <w:tcPr>
            <w:tcW w:type="dxa" w:w="2520"/>
          </w:tcPr>
          <w:p>
            <w:r>
              <w:t>ADR-001 to ADR-004</w:t>
            </w:r>
          </w:p>
        </w:tc>
        <w:tc>
          <w:tcPr>
            <w:tcW w:type="dxa" w:w="2520"/>
          </w:tcPr>
          <w:p>
            <w:r>
              <w:t>Threat model, trust boundaries, custom Java Authorization Server, registration/login UI, OIDC Authorization Code + PKCE, MFA/WebAuthn and step-up.</w:t>
            </w:r>
          </w:p>
        </w:tc>
      </w:tr>
      <w:tr>
        <w:tc>
          <w:tcPr>
            <w:tcW w:type="dxa" w:w="2520"/>
          </w:tcPr>
          <w:p>
            <w:r>
              <w:t>WP-02</w:t>
            </w:r>
          </w:p>
        </w:tc>
        <w:tc>
          <w:tcPr>
            <w:tcW w:type="dxa" w:w="2520"/>
          </w:tcPr>
          <w:p>
            <w:r>
              <w:t>Browser, BFF, Token, Session &amp; Revocation</w:t>
            </w:r>
          </w:p>
        </w:tc>
        <w:tc>
          <w:tcPr>
            <w:tcW w:type="dxa" w:w="2520"/>
          </w:tcPr>
          <w:p>
            <w:r>
              <w:t>ADR-005 to ADR-006</w:t>
            </w:r>
          </w:p>
        </w:tc>
        <w:tc>
          <w:tcPr>
            <w:tcW w:type="dxa" w:w="2520"/>
          </w:tcPr>
          <w:p>
            <w:r>
              <w:t>Secure BFF, hardened cookies, CSRF/CORS/CSP, short-lived tokens, refresh rotation/reuse detection, device sessions, token_valid_after, logout current/selected/all devices.</w:t>
            </w:r>
          </w:p>
        </w:tc>
      </w:tr>
      <w:tr>
        <w:tc>
          <w:tcPr>
            <w:tcW w:type="dxa" w:w="2520"/>
          </w:tcPr>
          <w:p>
            <w:r>
              <w:t>WP-03</w:t>
            </w:r>
          </w:p>
        </w:tc>
        <w:tc>
          <w:tcPr>
            <w:tcW w:type="dxa" w:w="2520"/>
          </w:tcPr>
          <w:p>
            <w:r>
              <w:t>API &amp; Fine-Grained Authorization</w:t>
            </w:r>
          </w:p>
        </w:tc>
        <w:tc>
          <w:tcPr>
            <w:tcW w:type="dxa" w:w="2520"/>
          </w:tcPr>
          <w:p>
            <w:r>
              <w:t>ADR-007 to ADR-008</w:t>
            </w:r>
          </w:p>
        </w:tc>
        <w:tc>
          <w:tcPr>
            <w:tcW w:type="dxa" w:w="2520"/>
          </w:tcPr>
          <w:p>
            <w:r>
              <w:t>Spring Resource Servers, issuer/audience validation, RBAC + ABAC + resource/tenant authorization, PDP/PEP integration, ALLOW/DENY/STEP_UP.</w:t>
            </w:r>
          </w:p>
        </w:tc>
      </w:tr>
      <w:tr>
        <w:tc>
          <w:tcPr>
            <w:tcW w:type="dxa" w:w="2520"/>
          </w:tcPr>
          <w:p>
            <w:r>
              <w:t>WP-04</w:t>
            </w:r>
          </w:p>
        </w:tc>
        <w:tc>
          <w:tcPr>
            <w:tcW w:type="dxa" w:w="2520"/>
          </w:tcPr>
          <w:p>
            <w:r>
              <w:t>Workload, Kubernetes, Data, Kafka &amp; Secrets</w:t>
            </w:r>
          </w:p>
        </w:tc>
        <w:tc>
          <w:tcPr>
            <w:tcW w:type="dxa" w:w="2520"/>
          </w:tcPr>
          <w:p>
            <w:r>
              <w:t>ADR-009 to ADR-010</w:t>
            </w:r>
          </w:p>
        </w:tc>
        <w:tc>
          <w:tcPr>
            <w:tcW w:type="dxa" w:w="2520"/>
          </w:tcPr>
          <w:p>
            <w:r>
              <w:t>SPIFFE/SPIRE, mTLS, default-deny network controls, least-privilege DB identities, Kafka ACLs, secrets management, KMS/HSM-ready key lifecycle.</w:t>
            </w:r>
          </w:p>
        </w:tc>
      </w:tr>
      <w:tr>
        <w:tc>
          <w:tcPr>
            <w:tcW w:type="dxa" w:w="2520"/>
          </w:tcPr>
          <w:p>
            <w:r>
              <w:t>WP-05</w:t>
            </w:r>
          </w:p>
        </w:tc>
        <w:tc>
          <w:tcPr>
            <w:tcW w:type="dxa" w:w="2520"/>
          </w:tcPr>
          <w:p>
            <w:r>
              <w:t>Detection, Attack Simulation &amp; Production Readiness</w:t>
            </w:r>
          </w:p>
        </w:tc>
        <w:tc>
          <w:tcPr>
            <w:tcW w:type="dxa" w:w="2520"/>
          </w:tcPr>
          <w:p>
            <w:r>
              <w:t>Extends ADR-001 to ADR-010</w:t>
            </w:r>
          </w:p>
        </w:tc>
        <w:tc>
          <w:tcPr>
            <w:tcW w:type="dxa" w:w="2520"/>
          </w:tcPr>
          <w:p>
            <w:r>
              <w:t>Security event model, audit/SIEM integration, compromise response, negative tests, attack simulation, outage behavior, authorization and security performance validation.</w:t>
            </w:r>
          </w:p>
        </w:tc>
      </w:tr>
    </w:tbl>
    <w:p>
      <w:pPr>
        <w:pStyle w:val="Heading2"/>
      </w:pPr>
      <w:r>
        <w:t>ADR baseline</w:t>
      </w:r>
    </w:p>
    <w:p>
      <w:pPr>
        <w:pStyle w:val="ListBullet"/>
      </w:pPr>
      <w:r>
        <w:t>ADR-001 - Zero Trust Security Boundaries</w:t>
      </w:r>
    </w:p>
    <w:p>
      <w:pPr>
        <w:pStyle w:val="ListBullet"/>
      </w:pPr>
      <w:r>
        <w:t>ADR-002 - Human, Device and Workload Identity Model</w:t>
      </w:r>
    </w:p>
    <w:p>
      <w:pPr>
        <w:pStyle w:val="ListBullet"/>
      </w:pPr>
      <w:r>
        <w:t>ADR-003 - OIDC Authorization Code + PKCE S256</w:t>
      </w:r>
    </w:p>
    <w:p>
      <w:pPr>
        <w:pStyle w:val="ListBullet"/>
      </w:pPr>
      <w:r>
        <w:t>ADR-004 - MFA, WebAuthn and Step-Up Authentication</w:t>
      </w:r>
    </w:p>
    <w:p>
      <w:pPr>
        <w:pStyle w:val="ListBullet"/>
      </w:pPr>
      <w:r>
        <w:t>ADR-005 - BFF and Browser Token Custody</w:t>
      </w:r>
    </w:p>
    <w:p>
      <w:pPr>
        <w:pStyle w:val="ListBullet"/>
      </w:pPr>
      <w:r>
        <w:t>ADR-006 - Token, Session, Device and Revocation Model</w:t>
      </w:r>
    </w:p>
    <w:p>
      <w:pPr>
        <w:pStyle w:val="ListBullet"/>
      </w:pPr>
      <w:r>
        <w:t>ADR-007 - RBAC + ABAC + Resource Authorization</w:t>
      </w:r>
    </w:p>
    <w:p>
      <w:pPr>
        <w:pStyle w:val="ListBullet"/>
      </w:pPr>
      <w:r>
        <w:t>ADR-008 - PDP / PEP Authorization Architecture</w:t>
      </w:r>
    </w:p>
    <w:p>
      <w:pPr>
        <w:pStyle w:val="ListBullet"/>
      </w:pPr>
      <w:r>
        <w:t>ADR-009 - SPIFFE/SPIRE + mTLS Workload Identity</w:t>
      </w:r>
    </w:p>
    <w:p>
      <w:pPr>
        <w:pStyle w:val="ListBullet"/>
      </w:pPr>
      <w:r>
        <w:t>ADR-010 - Database, Kafka, Secrets and Cryptographic Key Security</w:t>
      </w:r>
    </w:p>
    <w:p>
      <w:pPr>
        <w:pStyle w:val="Heading2"/>
      </w:pPr>
      <w:r>
        <w:t>Explicitly deferred to the next phase</w:t>
      </w:r>
    </w:p>
    <w:p>
      <w:r>
        <w:rPr>
          <w:b/>
        </w:rPr>
        <w:t xml:space="preserve">CI/CD and software supply-chain implementation are intentionally deferred. </w:t>
      </w:r>
      <w:r>
        <w:t>After WP-01 through WP-05 are complete, a separate delivery architecture will cover build-once/promote, SAST, SCA, secret scanning, SBOM, image scanning, signing/provenance, immutable digests, registry controls, Kubernetes admission verification, GitOps/ArgoCD, security gates, exception governance and rollback.</w:t>
      </w:r>
    </w:p>
    <w:p>
      <w:r>
        <w:br w:type="page"/>
      </w:r>
    </w:p>
    <w:p>
      <w:pPr>
        <w:pStyle w:val="Heading1"/>
      </w:pPr>
      <w:r>
        <w:t>24. Security Architecture Corrections and Production Readiness v1.2</w:t>
      </w:r>
    </w:p>
    <w:p>
      <w:r>
        <w:t>This revision closes four architecture gaps: account recovery, multi-tenancy, delivery resourcing, and authorization-path latency. It also turns the security fitness functions into executable platform tests.</w:t>
      </w:r>
    </w:p>
    <w:p>
      <w:pPr>
        <w:pStyle w:val="Heading2"/>
      </w:pPr>
      <w:r>
        <w:t>24.1 Normative Target Architecture</w:t>
      </w:r>
    </w:p>
    <w:p>
      <w:r>
        <w:rPr>
          <w:rFonts w:ascii="Consolas" w:hAnsi="Consolas"/>
          <w:sz w:val="17"/>
        </w:rPr>
        <w:t>React UI</w:t>
        <w:br/>
        <w:t xml:space="preserve">  |  HTTPS + Secure/HttpOnly/SameSite session cookie</w:t>
        <w:br/>
        <w:t xml:space="preserve">  v</w:t>
        <w:br/>
        <w:t>Spring Boot BFF</w:t>
        <w:br/>
        <w:t xml:space="preserve">  |-- CSRF / CORS / CSP / rate limits</w:t>
        <w:br/>
        <w:t xml:space="preserve">  |-- OAuth client; tokens remain server-side</w:t>
        <w:br/>
        <w:t xml:space="preserve">  |</w:t>
        <w:br/>
        <w:t xml:space="preserve">  +--&gt; Java Authorization Server</w:t>
        <w:br/>
        <w:t xml:space="preserve">  |      Spring Boot + Spring Security + Spring Authorization Server</w:t>
        <w:br/>
        <w:t xml:space="preserve">  |      OIDC + Authorization Code + PKCE S256</w:t>
        <w:br/>
        <w:t xml:space="preserve">  |      Argon2id password hashing</w:t>
        <w:br/>
        <w:t xml:space="preserve">  |      Passkeys/WebAuthn (preferred high assurance)</w:t>
        <w:br/>
        <w:t xml:space="preserve">  |      TOTP (fallback / medium assurance)</w:t>
        <w:br/>
        <w:t xml:space="preserve">  |      Token issuance, rotation, revocation, JWKS</w:t>
        <w:br/>
        <w:t xml:space="preserve">  |      Account recovery + session/device security</w:t>
        <w:br/>
        <w:t xml:space="preserve">  |</w:t>
        <w:br/>
        <w:t xml:space="preserve">  +--&gt; Spring Resource Servers</w:t>
        <w:br/>
        <w:t xml:space="preserve">         JWT issuer + audience + time validation</w:t>
        <w:br/>
        <w:t xml:space="preserve">         RBAC + ABAC + resource/tenant authorization</w:t>
        <w:br/>
        <w:t xml:space="preserve">         PEP -&gt; PDP for centrally governed decisions</w:t>
        <w:br/>
        <w:t xml:space="preserve">         Java domain invariants remain local</w:t>
        <w:br/>
        <w:br/>
        <w:t>Workload plane: SPIFFE/SPIRE + mTLS</w:t>
        <w:br/>
        <w:t>Data plane: PostgreSQL least privilege + Kafka ACLs + secrets/KMS</w:t>
        <w:br/>
        <w:t>Security plane: audit events -&gt; Kafka/SIEM -&gt; detection -&gt; containment/revocation</w:t>
      </w:r>
    </w:p>
    <w:p>
      <w:pPr>
        <w:pStyle w:val="Heading2"/>
      </w:pPr>
      <w:r>
        <w:t>24.2 Account Recovery Threat Model</w:t>
      </w:r>
    </w:p>
    <w:p>
      <w:r>
        <w:t>Account recovery is an authentication path, not an administrative convenience. Recovery must never provide a lower-assurance shortcut around passkeys, MFA, session revocation, or privileged-account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Recovery level</w:t>
            </w:r>
          </w:p>
        </w:tc>
        <w:tc>
          <w:tcPr>
            <w:tcW w:type="dxa" w:w="2520"/>
          </w:tcPr>
          <w:p>
            <w:r>
              <w:t>Example subject</w:t>
            </w:r>
          </w:p>
        </w:tc>
        <w:tc>
          <w:tcPr>
            <w:tcW w:type="dxa" w:w="2520"/>
          </w:tcPr>
          <w:p>
            <w:r>
              <w:t>Minimum recovery controls</w:t>
            </w:r>
          </w:p>
        </w:tc>
        <w:tc>
          <w:tcPr>
            <w:tcW w:type="dxa" w:w="2520"/>
          </w:tcPr>
          <w:p>
            <w:r>
              <w:t>Post-recovery action</w:t>
            </w:r>
          </w:p>
        </w:tc>
      </w:tr>
      <w:tr>
        <w:tc>
          <w:tcPr>
            <w:tcW w:type="dxa" w:w="2520"/>
          </w:tcPr>
          <w:p>
            <w:r>
              <w:t>R1 - Standard</w:t>
            </w:r>
          </w:p>
        </w:tc>
        <w:tc>
          <w:tcPr>
            <w:tcW w:type="dxa" w:w="2520"/>
          </w:tcPr>
          <w:p>
            <w:r>
              <w:t>Normal user with verified email</w:t>
            </w:r>
          </w:p>
        </w:tc>
        <w:tc>
          <w:tcPr>
            <w:tcW w:type="dxa" w:w="2520"/>
          </w:tcPr>
          <w:p>
            <w:r>
              <w:t>Single-use, short-lived reset token; rate limiting; enumeration resistance; risk checks; no security questions</w:t>
            </w:r>
          </w:p>
        </w:tc>
        <w:tc>
          <w:tcPr>
            <w:tcW w:type="dxa" w:w="2520"/>
          </w:tcPr>
          <w:p>
            <w:r>
              <w:t>Revoke refresh-token family; rotate session; notify user; security event</w:t>
            </w:r>
          </w:p>
        </w:tc>
      </w:tr>
      <w:tr>
        <w:tc>
          <w:tcPr>
            <w:tcW w:type="dxa" w:w="2520"/>
          </w:tcPr>
          <w:p>
            <w:r>
              <w:t>R2 - Elevated</w:t>
            </w:r>
          </w:p>
        </w:tc>
        <w:tc>
          <w:tcPr>
            <w:tcW w:type="dxa" w:w="2520"/>
          </w:tcPr>
          <w:p>
            <w:r>
              <w:t>User with MFA/passkey enrolled</w:t>
            </w:r>
          </w:p>
        </w:tc>
        <w:tc>
          <w:tcPr>
            <w:tcW w:type="dxa" w:w="2520"/>
          </w:tcPr>
          <w:p>
            <w:r>
              <w:t>Verified recovery channel plus existing factor or recovery code where available; stronger risk checks</w:t>
            </w:r>
          </w:p>
        </w:tc>
        <w:tc>
          <w:tcPr>
            <w:tcW w:type="dxa" w:w="2520"/>
          </w:tcPr>
          <w:p>
            <w:r>
              <w:t>Revoke all sessions; require factor re-enrollment review; notify all verified channels</w:t>
            </w:r>
          </w:p>
        </w:tc>
      </w:tr>
      <w:tr>
        <w:tc>
          <w:tcPr>
            <w:tcW w:type="dxa" w:w="2520"/>
          </w:tcPr>
          <w:p>
            <w:r>
              <w:t>R3 - Privileged</w:t>
            </w:r>
          </w:p>
        </w:tc>
        <w:tc>
          <w:tcPr>
            <w:tcW w:type="dxa" w:w="2520"/>
          </w:tcPr>
          <w:p>
            <w:r>
              <w:t>Admin/support/security-sensitive user</w:t>
            </w:r>
          </w:p>
        </w:tc>
        <w:tc>
          <w:tcPr>
            <w:tcW w:type="dxa" w:w="2520"/>
          </w:tcPr>
          <w:p>
            <w:r>
              <w:t>No email-only reset. Require phishing-resistant factor or controlled manual recovery with dual approval</w:t>
            </w:r>
          </w:p>
        </w:tc>
        <w:tc>
          <w:tcPr>
            <w:tcW w:type="dxa" w:w="2520"/>
          </w:tcPr>
          <w:p>
            <w:r>
              <w:t>Global revocation; privileged-access hold until re-verification; immutable audit</w:t>
            </w:r>
          </w:p>
        </w:tc>
      </w:tr>
      <w:tr>
        <w:tc>
          <w:tcPr>
            <w:tcW w:type="dxa" w:w="2520"/>
          </w:tcPr>
          <w:p>
            <w:r>
              <w:t>R4 - Lost-all-factors</w:t>
            </w:r>
          </w:p>
        </w:tc>
        <w:tc>
          <w:tcPr>
            <w:tcW w:type="dxa" w:w="2520"/>
          </w:tcPr>
          <w:p>
            <w:r>
              <w:t>No usable authenticators</w:t>
            </w:r>
          </w:p>
        </w:tc>
        <w:tc>
          <w:tcPr>
            <w:tcW w:type="dxa" w:w="2520"/>
          </w:tcPr>
          <w:p>
            <w:r>
              <w:t>High-friction identity proofing/manual process; cooling-off period; dual control; no help-desk unilateral override</w:t>
            </w:r>
          </w:p>
        </w:tc>
        <w:tc>
          <w:tcPr>
            <w:tcW w:type="dxa" w:w="2520"/>
          </w:tcPr>
          <w:p>
            <w:r>
              <w:t>Global revocation; delayed restoration; alerts; mandatory re-enrollment</w:t>
            </w:r>
          </w:p>
        </w:tc>
      </w:tr>
    </w:tbl>
    <w:p>
      <w:r>
        <w:t>Recovery-specific threats and controls:</w:t>
      </w:r>
    </w:p>
    <w:p>
      <w:pPr>
        <w:pStyle w:val="ListBullet"/>
      </w:pPr>
      <w:r>
        <w:t>Email takeover: email alone must not recover privileged accounts; recovery links are single-use, short-lived and bound to the recovery transaction.</w:t>
      </w:r>
    </w:p>
    <w:p>
      <w:pPr>
        <w:pStyle w:val="ListBullet"/>
      </w:pPr>
      <w:r>
        <w:t>Help-desk social engineering: support agents cannot bypass authentication policy. High-risk recovery uses dual approval, explicit evidence capture, reason codes and immutable audit.</w:t>
      </w:r>
    </w:p>
    <w:p>
      <w:pPr>
        <w:pStyle w:val="ListBullet"/>
      </w:pPr>
      <w:r>
        <w:t>SIM-swap / SMS interception: SMS and email OTP are low-assurance fallback mechanisms only; they are not accepted as phishing-resistant authentication.</w:t>
      </w:r>
    </w:p>
    <w:p>
      <w:pPr>
        <w:pStyle w:val="ListBullet"/>
      </w:pPr>
      <w:r>
        <w:t>User enumeration: registration, forgot-password and recovery responses do not reveal whether an account exists.</w:t>
      </w:r>
    </w:p>
    <w:p>
      <w:pPr>
        <w:pStyle w:val="ListBullet"/>
      </w:pPr>
      <w:r>
        <w:t>Reset-token theft/replay: store only protected token material, enforce expiry and one-time use, invalidate on successful reset, and detect replay.</w:t>
      </w:r>
    </w:p>
    <w:p>
      <w:pPr>
        <w:pStyle w:val="ListBullet"/>
      </w:pPr>
      <w:r>
        <w:t>Recovery after compromise: successful password or factor recovery triggers session/token revocation according to the recovery assurance level.</w:t>
      </w:r>
    </w:p>
    <w:p>
      <w:pPr>
        <w:pStyle w:val="ListBullet"/>
      </w:pPr>
      <w:r>
        <w:t>Factor replacement: adding/replacing a passkey or MFA factor is itself a sensitive operation requiring recent authentication or controlled recovery.</w:t>
      </w:r>
    </w:p>
    <w:p>
      <w:pPr>
        <w:pStyle w:val="Heading2"/>
      </w:pPr>
      <w:r>
        <w:t>24.3 Multi-Tenancy Security Model</w:t>
      </w:r>
    </w:p>
    <w:p>
      <w:r>
        <w:t>Tenant isolation is server-enforced. A tenant identifier supplied by the browser or carried in a token is context, not authoritative proof that the subject may access a resource. The resource's tenant is derived from trusted server-side data, and access is granted only after membership/entitlement is evaluated.</w:t>
      </w:r>
    </w:p>
    <w:p>
      <w:r>
        <w:rPr>
          <w:rFonts w:ascii="Consolas" w:hAnsi="Consolas"/>
          <w:sz w:val="17"/>
        </w:rPr>
        <w:t>subject</w:t>
        <w:br/>
        <w:t xml:space="preserve">  |</w:t>
        <w:br/>
        <w:t xml:space="preserve">  +-- memberships: [tenant-A, tenant-B]</w:t>
        <w:br/>
        <w:t xml:space="preserve">  |</w:t>
        <w:br/>
        <w:t xml:space="preserve">  +-- active tenant context: tenant-A</w:t>
        <w:br/>
        <w:t xml:space="preserve">             |</w:t>
        <w:br/>
        <w:t>request ------+</w:t>
        <w:br/>
        <w:t xml:space="preserve">             v</w:t>
        <w:br/>
        <w:t>load resource by opaque resource ID</w:t>
        <w:br/>
        <w:t xml:space="preserve">             |</w:t>
        <w:br/>
        <w:t xml:space="preserve">             v</w:t>
        <w:br/>
        <w:t>derive resource.tenant_id from database</w:t>
        <w:br/>
        <w:t xml:space="preserve">             |</w:t>
        <w:br/>
        <w:t xml:space="preserve">             v</w:t>
        <w:br/>
        <w:t>membership(subject, resource.tenant_id)?</w:t>
        <w:br/>
        <w:t xml:space="preserve">             |</w:t>
        <w:br/>
        <w:t xml:space="preserve">      +------+------+</w:t>
        <w:br/>
        <w:t xml:space="preserve">      |             |</w:t>
        <w:br/>
        <w:t xml:space="preserve">     YES           NO</w:t>
        <w:br/>
        <w:t xml:space="preserve">      |             |</w:t>
        <w:br/>
        <w:t xml:space="preserve"> policy checks     DENY</w:t>
        <w:br/>
        <w:t xml:space="preserve">      |</w:t>
        <w:br/>
        <w:t xml:space="preserve"> RBAC + ABAC + domain rules</w:t>
      </w:r>
    </w:p>
    <w:p>
      <w:pPr>
        <w:pStyle w:val="ListBullet"/>
      </w:pPr>
      <w:r>
        <w:t>A subject may belong to multiple tenants through an explicit subject_tenant_membership relation.</w:t>
      </w:r>
    </w:p>
    <w:p>
      <w:pPr>
        <w:pStyle w:val="ListBullet"/>
      </w:pPr>
      <w:r>
        <w:t>The active tenant may be represented in session/token context to reduce ambiguity, but it never replaces server-side resource tenancy validation.</w:t>
      </w:r>
    </w:p>
    <w:p>
      <w:pPr>
        <w:pStyle w:val="ListBullet"/>
      </w:pPr>
      <w:r>
        <w:t>Resource tenant ownership is derived from the authoritative resource record, never solely from a URL/header/body claim.</w:t>
      </w:r>
    </w:p>
    <w:p>
      <w:pPr>
        <w:pStyle w:val="ListBullet"/>
      </w:pPr>
      <w:r>
        <w:t>Tenant switching is an explicit operation that verifies membership and updates the server-side session/context; privileged tenant switches can require step-up authentication.</w:t>
      </w:r>
    </w:p>
    <w:p>
      <w:pPr>
        <w:pStyle w:val="ListBullet"/>
      </w:pPr>
      <w:r>
        <w:t>Global/platform administrators use a distinct privileged authorization path with explicit reason/audit requirements; they do not receive implicit cross-tenant access.</w:t>
      </w:r>
    </w:p>
    <w:p>
      <w:pPr>
        <w:pStyle w:val="ListBullet"/>
      </w:pPr>
      <w:r>
        <w:t>Repository/query boundaries include tenant predicates or tenant-scoped data access abstractions to reduce accidental cross-tenant reads.</w:t>
      </w:r>
    </w:p>
    <w:p>
      <w:pPr>
        <w:pStyle w:val="ListBullet"/>
      </w:pPr>
      <w:r>
        <w:t>Cross-tenant IDOR/BOLA tests must cover guessed IDs, changed tenant headers, stale tenant context, multi-tenant subjects, admin paths and bulk/list endpoints.</w:t>
      </w:r>
    </w:p>
    <w:p>
      <w:pPr>
        <w:pStyle w:val="Heading2"/>
      </w:pPr>
      <w:r>
        <w:t>24.4 Authorization Performance and Resilience Budget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Control</w:t>
            </w:r>
          </w:p>
        </w:tc>
        <w:tc>
          <w:tcPr>
            <w:tcW w:type="dxa" w:w="2520"/>
          </w:tcPr>
          <w:p>
            <w:r>
              <w:t>Initial target</w:t>
            </w:r>
          </w:p>
        </w:tc>
        <w:tc>
          <w:tcPr>
            <w:tcW w:type="dxa" w:w="2520"/>
          </w:tcPr>
          <w:p>
            <w:r>
              <w:t>Design rule</w:t>
            </w:r>
          </w:p>
        </w:tc>
        <w:tc>
          <w:tcPr>
            <w:tcW w:type="dxa" w:w="2520"/>
          </w:tcPr>
          <w:p>
            <w:r>
              <w:t>Failure behavior</w:t>
            </w:r>
          </w:p>
        </w:tc>
      </w:tr>
      <w:tr>
        <w:tc>
          <w:tcPr>
            <w:tcW w:type="dxa" w:w="2520"/>
          </w:tcPr>
          <w:p>
            <w:r>
              <w:t>Local JWT validation</w:t>
            </w:r>
          </w:p>
        </w:tc>
        <w:tc>
          <w:tcPr>
            <w:tcW w:type="dxa" w:w="2520"/>
          </w:tcPr>
          <w:p>
            <w:r>
              <w:t>p99 &lt; 5 ms added service latency</w:t>
            </w:r>
          </w:p>
        </w:tc>
        <w:tc>
          <w:tcPr>
            <w:tcW w:type="dxa" w:w="2520"/>
          </w:tcPr>
          <w:p>
            <w:r>
              <w:t>Cache JWKS with bounded refresh; no IdP round trip per request</w:t>
            </w:r>
          </w:p>
        </w:tc>
        <w:tc>
          <w:tcPr>
            <w:tcW w:type="dxa" w:w="2520"/>
          </w:tcPr>
          <w:p>
            <w:r>
              <w:t>Reject unverifiable tokens</w:t>
            </w:r>
          </w:p>
        </w:tc>
      </w:tr>
      <w:tr>
        <w:tc>
          <w:tcPr>
            <w:tcW w:type="dxa" w:w="2520"/>
          </w:tcPr>
          <w:p>
            <w:r>
              <w:t>PDP decision</w:t>
            </w:r>
          </w:p>
        </w:tc>
        <w:tc>
          <w:tcPr>
            <w:tcW w:type="dxa" w:w="2520"/>
          </w:tcPr>
          <w:p>
            <w:r>
              <w:t>p95 &lt; 15 ms; p99 &lt; 30 ms in-region</w:t>
            </w:r>
          </w:p>
        </w:tc>
        <w:tc>
          <w:tcPr>
            <w:tcW w:type="dxa" w:w="2520"/>
          </w:tcPr>
          <w:p>
            <w:r>
              <w:t>One policy call per protected boundary where possible; batch/compose decisions</w:t>
            </w:r>
          </w:p>
        </w:tc>
        <w:tc>
          <w:tcPr>
            <w:tcW w:type="dxa" w:w="2520"/>
          </w:tcPr>
          <w:p>
            <w:r>
              <w:t>Fail closed for privileged writes; documented degraded policy for low-risk reads</w:t>
            </w:r>
          </w:p>
        </w:tc>
      </w:tr>
      <w:tr>
        <w:tc>
          <w:tcPr>
            <w:tcW w:type="dxa" w:w="2520"/>
          </w:tcPr>
          <w:p>
            <w:r>
              <w:t>Decision cache</w:t>
            </w:r>
          </w:p>
        </w:tc>
        <w:tc>
          <w:tcPr>
            <w:tcW w:type="dxa" w:w="2520"/>
          </w:tcPr>
          <w:p>
            <w:r>
              <w:t>0-30 s depending on policy sensitivity</w:t>
            </w:r>
          </w:p>
        </w:tc>
        <w:tc>
          <w:tcPr>
            <w:tcW w:type="dxa" w:w="2520"/>
          </w:tcPr>
          <w:p>
            <w:r>
              <w:t>Cache only when subject/resource/action/context key is safe; never cache dynamic high-risk decisions blindly</w:t>
            </w:r>
          </w:p>
        </w:tc>
        <w:tc>
          <w:tcPr>
            <w:tcW w:type="dxa" w:w="2520"/>
          </w:tcPr>
          <w:p>
            <w:r>
              <w:t>Expiry forces re-evaluation</w:t>
            </w:r>
          </w:p>
        </w:tc>
      </w:tr>
      <w:tr>
        <w:tc>
          <w:tcPr>
            <w:tcW w:type="dxa" w:w="2520"/>
          </w:tcPr>
          <w:p>
            <w:r>
              <w:t>Token exchange</w:t>
            </w:r>
          </w:p>
        </w:tc>
        <w:tc>
          <w:tcPr>
            <w:tcW w:type="dxa" w:w="2520"/>
          </w:tcPr>
          <w:p>
            <w:r>
              <w:t>Avoid on internal fan-out unless delegation/downscoping is required</w:t>
            </w:r>
          </w:p>
        </w:tc>
        <w:tc>
          <w:tcPr>
            <w:tcW w:type="dxa" w:w="2520"/>
          </w:tcPr>
          <w:p>
            <w:r>
              <w:t>Propagate/downscope deliberately; do not exchange at every hop by default</w:t>
            </w:r>
          </w:p>
        </w:tc>
        <w:tc>
          <w:tcPr>
            <w:tcW w:type="dxa" w:w="2520"/>
          </w:tcPr>
          <w:p>
            <w:r>
              <w:t>No silent fallback to broader token</w:t>
            </w:r>
          </w:p>
        </w:tc>
      </w:tr>
      <w:tr>
        <w:tc>
          <w:tcPr>
            <w:tcW w:type="dxa" w:w="2520"/>
          </w:tcPr>
          <w:p>
            <w:r>
              <w:t>End-to-end security overhead</w:t>
            </w:r>
          </w:p>
        </w:tc>
        <w:tc>
          <w:tcPr>
            <w:tcW w:type="dxa" w:w="2520"/>
          </w:tcPr>
          <w:p>
            <w:r>
              <w:t>Budget &lt;= 10% of API p99 latency for normal protected calls</w:t>
            </w:r>
          </w:p>
        </w:tc>
        <w:tc>
          <w:tcPr>
            <w:tcW w:type="dxa" w:w="2520"/>
          </w:tcPr>
          <w:p>
            <w:r>
              <w:t>Measure baseline vs security-enabled path in WP-05</w:t>
            </w:r>
          </w:p>
        </w:tc>
        <w:tc>
          <w:tcPr>
            <w:tcW w:type="dxa" w:w="2520"/>
          </w:tcPr>
          <w:p>
            <w:r>
              <w:t>Release gate if budget regresses without approved exception</w:t>
            </w:r>
          </w:p>
        </w:tc>
      </w:tr>
    </w:tbl>
    <w:p>
      <w:r>
        <w:t>PDP slowness is treated separately from PDP unavailability. Timeouts, circuit breaking, bounded retries, queueing, connection pooling, cache hit ratio and policy-evaluation latency are mandatory telemetry. Fan-out paths must be modeled so that authorization calls do not multiply uncontrolled across service hops.</w:t>
      </w:r>
    </w:p>
    <w:p>
      <w:pPr>
        <w:pStyle w:val="Heading2"/>
      </w:pPr>
      <w:r>
        <w:t>24.5 Resourcing and Delivery Estimate</w:t>
      </w:r>
    </w:p>
    <w:p>
      <w:r>
        <w:t>These are planning ranges for a dedicated team building the platform to production quality. They are not commitments; integration constraints, compliance requirements and enterprise infrastructure can materially change elapsed time.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Indicative team</w:t>
            </w:r>
          </w:p>
        </w:tc>
        <w:tc>
          <w:tcPr>
            <w:tcW w:type="dxa" w:w="2016"/>
          </w:tcPr>
          <w:p>
            <w:r>
              <w:t>Elapsed time</w:t>
            </w:r>
          </w:p>
        </w:tc>
        <w:tc>
          <w:tcPr>
            <w:tcW w:type="dxa" w:w="2016"/>
          </w:tcPr>
          <w:p>
            <w:r>
              <w:t>Primary scope</w:t>
            </w:r>
          </w:p>
        </w:tc>
        <w:tc>
          <w:tcPr>
            <w:tcW w:type="dxa" w:w="2016"/>
          </w:tcPr>
          <w:p>
            <w:r>
              <w:t>First scope reduction under pressure</w:t>
            </w:r>
          </w:p>
        </w:tc>
      </w:tr>
      <w:tr>
        <w:tc>
          <w:tcPr>
            <w:tcW w:type="dxa" w:w="2016"/>
          </w:tcPr>
          <w:p>
            <w:r>
              <w:t>WP-01</w:t>
            </w:r>
          </w:p>
        </w:tc>
        <w:tc>
          <w:tcPr>
            <w:tcW w:type="dxa" w:w="2016"/>
          </w:tcPr>
          <w:p>
            <w:r>
              <w:t>2 backend/security + 1 frontend + shared architect</w:t>
            </w:r>
          </w:p>
        </w:tc>
        <w:tc>
          <w:tcPr>
            <w:tcW w:type="dxa" w:w="2016"/>
          </w:tcPr>
          <w:p>
            <w:r>
              <w:t>8-12 weeks</w:t>
            </w:r>
          </w:p>
        </w:tc>
        <w:tc>
          <w:tcPr>
            <w:tcW w:type="dxa" w:w="2016"/>
          </w:tcPr>
          <w:p>
            <w:r>
              <w:t>Identity server, registration/login, OIDC/PKCE, MFA, recovery foundation</w:t>
            </w:r>
          </w:p>
        </w:tc>
        <w:tc>
          <w:tcPr>
            <w:tcW w:type="dxa" w:w="2016"/>
          </w:tcPr>
          <w:p>
            <w:r>
              <w:t>Defer social login and nonessential UI polish; do not cut issuer/audience/recovery controls</w:t>
            </w:r>
          </w:p>
        </w:tc>
      </w:tr>
      <w:tr>
        <w:tc>
          <w:tcPr>
            <w:tcW w:type="dxa" w:w="2016"/>
          </w:tcPr>
          <w:p>
            <w:r>
              <w:t>WP-02</w:t>
            </w:r>
          </w:p>
        </w:tc>
        <w:tc>
          <w:tcPr>
            <w:tcW w:type="dxa" w:w="2016"/>
          </w:tcPr>
          <w:p>
            <w:r>
              <w:t>2 backend + 1 frontend + 1 QA/security</w:t>
            </w:r>
          </w:p>
        </w:tc>
        <w:tc>
          <w:tcPr>
            <w:tcW w:type="dxa" w:w="2016"/>
          </w:tcPr>
          <w:p>
            <w:r>
              <w:t>8-10 weeks</w:t>
            </w:r>
          </w:p>
        </w:tc>
        <w:tc>
          <w:tcPr>
            <w:tcW w:type="dxa" w:w="2016"/>
          </w:tcPr>
          <w:p>
            <w:r>
              <w:t>BFF, sessions/devices, rotation/reuse, revocation, browser hardening</w:t>
            </w:r>
          </w:p>
        </w:tc>
        <w:tc>
          <w:tcPr>
            <w:tcW w:type="dxa" w:w="2016"/>
          </w:tcPr>
          <w:p>
            <w:r>
              <w:t>Defer rich security-activity UX; retain BFF, CSRF and revocation</w:t>
            </w:r>
          </w:p>
        </w:tc>
      </w:tr>
      <w:tr>
        <w:tc>
          <w:tcPr>
            <w:tcW w:type="dxa" w:w="2016"/>
          </w:tcPr>
          <w:p>
            <w:r>
              <w:t>WP-03</w:t>
            </w:r>
          </w:p>
        </w:tc>
        <w:tc>
          <w:tcPr>
            <w:tcW w:type="dxa" w:w="2016"/>
          </w:tcPr>
          <w:p>
            <w:r>
              <w:t>2 backend/security + 1 QA</w:t>
            </w:r>
          </w:p>
        </w:tc>
        <w:tc>
          <w:tcPr>
            <w:tcW w:type="dxa" w:w="2016"/>
          </w:tcPr>
          <w:p>
            <w:r>
              <w:t>8-12 weeks</w:t>
            </w:r>
          </w:p>
        </w:tc>
        <w:tc>
          <w:tcPr>
            <w:tcW w:type="dxa" w:w="2016"/>
          </w:tcPr>
          <w:p>
            <w:r>
              <w:t>Resource servers, tenancy, RBAC/ABAC, PDP/PEP</w:t>
            </w:r>
          </w:p>
        </w:tc>
        <w:tc>
          <w:tcPr>
            <w:tcW w:type="dxa" w:w="2016"/>
          </w:tcPr>
          <w:p>
            <w:r>
              <w:t>Start with a narrow policy domain; do not fall back to role-only authorization</w:t>
            </w:r>
          </w:p>
        </w:tc>
      </w:tr>
      <w:tr>
        <w:tc>
          <w:tcPr>
            <w:tcW w:type="dxa" w:w="2016"/>
          </w:tcPr>
          <w:p>
            <w:r>
              <w:t>WP-04</w:t>
            </w:r>
          </w:p>
        </w:tc>
        <w:tc>
          <w:tcPr>
            <w:tcW w:type="dxa" w:w="2016"/>
          </w:tcPr>
          <w:p>
            <w:r>
              <w:t>2 platform/security + 1 backend</w:t>
            </w:r>
          </w:p>
        </w:tc>
        <w:tc>
          <w:tcPr>
            <w:tcW w:type="dxa" w:w="2016"/>
          </w:tcPr>
          <w:p>
            <w:r>
              <w:t>10-14 weeks</w:t>
            </w:r>
          </w:p>
        </w:tc>
        <w:tc>
          <w:tcPr>
            <w:tcW w:type="dxa" w:w="2016"/>
          </w:tcPr>
          <w:p>
            <w:r>
              <w:t>SPIFFE/SPIRE, mTLS, DB/Kafka isolation, secrets/KMS</w:t>
            </w:r>
          </w:p>
        </w:tc>
        <w:tc>
          <w:tcPr>
            <w:tcW w:type="dxa" w:w="2016"/>
          </w:tcPr>
          <w:p>
            <w:r>
              <w:t>Reduce number of integrated services first; retain workload identity and least privilege</w:t>
            </w:r>
          </w:p>
        </w:tc>
      </w:tr>
      <w:tr>
        <w:tc>
          <w:tcPr>
            <w:tcW w:type="dxa" w:w="2016"/>
          </w:tcPr>
          <w:p>
            <w:r>
              <w:t>WP-05</w:t>
            </w:r>
          </w:p>
        </w:tc>
        <w:tc>
          <w:tcPr>
            <w:tcW w:type="dxa" w:w="2016"/>
          </w:tcPr>
          <w:p>
            <w:r>
              <w:t>1 security + 1 QA/SDET + shared backend/platform</w:t>
            </w:r>
          </w:p>
        </w:tc>
        <w:tc>
          <w:tcPr>
            <w:tcW w:type="dxa" w:w="2016"/>
          </w:tcPr>
          <w:p>
            <w:r>
              <w:t>8-12 weeks</w:t>
            </w:r>
          </w:p>
        </w:tc>
        <w:tc>
          <w:tcPr>
            <w:tcW w:type="dxa" w:w="2016"/>
          </w:tcPr>
          <w:p>
            <w:r>
              <w:t>Telemetry, attack simulation, resilience/performance, production readiness</w:t>
            </w:r>
          </w:p>
        </w:tc>
        <w:tc>
          <w:tcPr>
            <w:tcW w:type="dxa" w:w="2016"/>
          </w:tcPr>
          <w:p>
            <w:r>
              <w:t>Reduce scenario breadth before removing critical negative tests or incident controls</w:t>
            </w:r>
          </w:p>
        </w:tc>
      </w:tr>
      <w:tr>
        <w:tc>
          <w:tcPr>
            <w:tcW w:type="dxa" w:w="2016"/>
          </w:tcPr>
          <w:p>
            <w:r>
              <w:t>Program range</w:t>
            </w:r>
          </w:p>
        </w:tc>
        <w:tc>
          <w:tcPr>
            <w:tcW w:type="dxa" w:w="2016"/>
          </w:tcPr>
          <w:p>
            <w:r>
              <w:t>Core 5-7 engineers plus part-time architecture/ops/compliance</w:t>
            </w:r>
          </w:p>
        </w:tc>
        <w:tc>
          <w:tcPr>
            <w:tcW w:type="dxa" w:w="2016"/>
          </w:tcPr>
          <w:p>
            <w:r>
              <w:t>~10-15 months with overlap; longer with enterprise dependencies</w:t>
            </w:r>
          </w:p>
        </w:tc>
        <w:tc>
          <w:tcPr>
            <w:tcW w:type="dxa" w:w="2016"/>
          </w:tcPr>
          <w:p>
            <w:r>
              <w:t>WP-01 through WP-05</w:t>
            </w:r>
          </w:p>
        </w:tc>
        <w:tc>
          <w:tcPr>
            <w:tcW w:type="dxa" w:w="2016"/>
          </w:tcPr>
          <w:p>
            <w:r>
              <w:t>Ship fewer integrations/use cases, not weaker security invariants</w:t>
            </w:r>
          </w:p>
        </w:tc>
      </w:tr>
    </w:tbl>
    <w:p>
      <w:pPr>
        <w:pStyle w:val="Heading2"/>
      </w:pPr>
      <w:r>
        <w:t>24.6 Security Fitness Functions Become Executable Tests</w:t>
      </w:r>
    </w:p>
    <w:p>
      <w:r>
        <w:t>Architecture fitness functions are release controls only when they execute. Every normative security invariant in Section 18 must map to a named automated test in a shared security-test module consumed by every Resource Server.</w:t>
      </w:r>
    </w:p>
    <w:p>
      <w:pPr>
        <w:pStyle w:val="ListBullet"/>
      </w:pPr>
      <w:r>
        <w:t>rejectsTokenWithWrongIssuer</w:t>
      </w:r>
    </w:p>
    <w:p>
      <w:pPr>
        <w:pStyle w:val="ListBullet"/>
      </w:pPr>
      <w:r>
        <w:t>rejectsTokenWithWrongAudience</w:t>
      </w:r>
    </w:p>
    <w:p>
      <w:pPr>
        <w:pStyle w:val="ListBullet"/>
      </w:pPr>
      <w:r>
        <w:t>rejectsExpiredToken</w:t>
      </w:r>
    </w:p>
    <w:p>
      <w:pPr>
        <w:pStyle w:val="ListBullet"/>
      </w:pPr>
      <w:r>
        <w:t>rejectsUnsignedOrInvalidSignatureToken</w:t>
      </w:r>
    </w:p>
    <w:p>
      <w:pPr>
        <w:pStyle w:val="ListBullet"/>
      </w:pPr>
      <w:r>
        <w:t>rejectsCrossTenantResourceAccess</w:t>
      </w:r>
    </w:p>
    <w:p>
      <w:pPr>
        <w:pStyle w:val="ListBullet"/>
      </w:pPr>
      <w:r>
        <w:t>rejectsMissingRequiredAuthenticationLevel</w:t>
      </w:r>
    </w:p>
    <w:p>
      <w:pPr>
        <w:pStyle w:val="ListBullet"/>
      </w:pPr>
      <w:r>
        <w:t>rejectsRevokedOrPreSecurityEpochSession</w:t>
      </w:r>
    </w:p>
    <w:p>
      <w:pPr>
        <w:pStyle w:val="ListBullet"/>
      </w:pPr>
      <w:r>
        <w:t>rejectsRefreshTokenReuse</w:t>
      </w:r>
    </w:p>
    <w:p>
      <w:pPr>
        <w:pStyle w:val="ListBullet"/>
      </w:pPr>
      <w:r>
        <w:t>deniesPolicyDecisionOnPrivilegedWriteWhenPdpUnavailable</w:t>
      </w:r>
    </w:p>
    <w:p>
      <w:pPr>
        <w:pStyle w:val="ListBullet"/>
      </w:pPr>
      <w:r>
        <w:t>recordsCorrelatedSecurityDecisionEvent</w:t>
      </w:r>
    </w:p>
    <w:p>
      <w:r>
        <w:t>Concrete defect class: JwtValidators.createDefaultWithIssuer(...) supplies the standard timestamp checks plus issuer validation, but audience is an application-specific constraint and must be wired explicitly. Minting an aud claim is not equivalent to validating it.</w:t>
      </w:r>
    </w:p>
    <w:p>
      <w:r>
        <w:t>Reference Spring Security validator chain:</w:t>
      </w:r>
    </w:p>
    <w:p>
      <w:r>
        <w:rPr>
          <w:rFonts w:ascii="Consolas" w:hAnsi="Consolas"/>
          <w:sz w:val="16"/>
        </w:rPr>
        <w:t>@Bean</w:t>
        <w:br/>
        <w:t>JwtDecoder jwtDecoder(SecurityProperties props) {</w:t>
        <w:br/>
        <w:t xml:space="preserve">    NimbusJwtDecoder decoder =</w:t>
        <w:br/>
        <w:t xml:space="preserve">        NimbusJwtDecoder.withJwkSetUri(props.jwkSetUri()).build();</w:t>
        <w:br/>
        <w:br/>
        <w:t xml:space="preserve">    OAuth2TokenValidator&lt;Jwt&gt; issuer =</w:t>
        <w:br/>
        <w:t xml:space="preserve">        JwtValidators.createDefaultWithIssuer(props.issuer());</w:t>
        <w:br/>
        <w:br/>
        <w:t xml:space="preserve">    OAuth2TokenValidator&lt;Jwt&gt; audience = jwt -&gt; {</w:t>
        <w:br/>
        <w:t xml:space="preserve">        if (jwt.getAudience().contains(props.requiredAudience())) {</w:t>
        <w:br/>
        <w:t xml:space="preserve">            return OAuth2TokenValidatorResult.success();</w:t>
        <w:br/>
        <w:t xml:space="preserve">        }</w:t>
        <w:br/>
        <w:t xml:space="preserve">        OAuth2Error error = new OAuth2Error(</w:t>
        <w:br/>
        <w:t xml:space="preserve">            "invalid_token",</w:t>
        <w:br/>
        <w:t xml:space="preserve">            "Required audience is missing",</w:t>
        <w:br/>
        <w:t xml:space="preserve">            null</w:t>
        <w:br/>
        <w:t xml:space="preserve">        );</w:t>
        <w:br/>
        <w:t xml:space="preserve">        return OAuth2TokenValidatorResult.failure(error);</w:t>
        <w:br/>
        <w:t xml:space="preserve">    };</w:t>
        <w:br/>
        <w:br/>
        <w:t xml:space="preserve">    decoder.setJwtValidator(</w:t>
        <w:br/>
        <w:t xml:space="preserve">        new DelegatingOAuth2TokenValidator&lt;&gt;(issuer, audience)</w:t>
        <w:br/>
        <w:t xml:space="preserve">    );</w:t>
        <w:br/>
        <w:t xml:space="preserve">    return decoder;</w:t>
        <w:br/>
        <w:t>}</w:t>
      </w:r>
    </w:p>
    <w:p>
      <w:r>
        <w:t>The shared test module must prove both positive and negative cases. A service that omits the audience validator must fail its build/test gate before CI/CD architecture is introduced.</w:t>
      </w:r>
    </w:p>
    <w:p>
      <w:pPr>
        <w:pStyle w:val="Heading2"/>
      </w:pPr>
      <w:r>
        <w:t>24.7 Password and MFA Position</w:t>
      </w:r>
    </w:p>
    <w:p>
      <w:r>
        <w:t>Password hashing standard: Argon2id with parameters benchmarked for the deployment environment and periodically re-evaluated. bcrypt is not the target default for new credentials. Passkeys/WebAuthn are the preferred phishing-resistant authenticator for high-assurance use. TOTP may be retained as a medium-assurance fallback. SMS/email OTP, if business requirements force their use, are low-assurance recovery/fallback channels and must not satisfy privileged phishing-resistant authentication requirements.</w:t>
      </w:r>
    </w:p>
    <w:p>
      <w:pPr>
        <w:pStyle w:val="Heading2"/>
      </w:pPr>
      <w:r>
        <w:t>24.8 Additional Attack Simulations</w:t>
      </w:r>
    </w:p>
    <w:p>
      <w:pPr>
        <w:pStyle w:val="ListBullet"/>
      </w:pPr>
      <w:r>
        <w:t>Password-reset link theft and replay</w:t>
      </w:r>
    </w:p>
    <w:p>
      <w:pPr>
        <w:pStyle w:val="ListBullet"/>
      </w:pPr>
      <w:r>
        <w:t>Email-account takeover followed by recovery attempt</w:t>
      </w:r>
    </w:p>
    <w:p>
      <w:pPr>
        <w:pStyle w:val="ListBullet"/>
      </w:pPr>
      <w:r>
        <w:t>Help-desk social-engineering recovery attempt</w:t>
      </w:r>
    </w:p>
    <w:p>
      <w:pPr>
        <w:pStyle w:val="ListBullet"/>
      </w:pPr>
      <w:r>
        <w:t>MFA/passkey replacement through recovery</w:t>
      </w:r>
    </w:p>
    <w:p>
      <w:pPr>
        <w:pStyle w:val="ListBullet"/>
      </w:pPr>
      <w:r>
        <w:t>Tenant-header/body tampering</w:t>
      </w:r>
    </w:p>
    <w:p>
      <w:pPr>
        <w:pStyle w:val="ListBullet"/>
      </w:pPr>
      <w:r>
        <w:t>Multi-tenant subject accessing a resource outside active/authorized membership</w:t>
      </w:r>
    </w:p>
    <w:p>
      <w:pPr>
        <w:pStyle w:val="ListBullet"/>
      </w:pPr>
      <w:r>
        <w:t>PDP latency spike, timeout and partial degradation</w:t>
      </w:r>
    </w:p>
    <w:p>
      <w:pPr>
        <w:pStyle w:val="ListBullet"/>
      </w:pPr>
      <w:r>
        <w:t>Authorization cache staleness after entitlement or risk-state change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 Trust Security Architecture - Principal Engineer Reference -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