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t>Version 1.4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p>
    <w:p>
      <w:pPr>
        <w:pStyle w:val="Heading1"/>
      </w:pPr>
      <w:r>
        <w:t>23. Architecture Update v1.3 - Custom Authentication &amp; Authorization Platform</w:t>
      </w:r>
    </w:p>
    <w:p>
      <w:r>
        <w:t>Architecture decision for this reference implementation: the runtime platform will not depend on Keycloak as its Identity Provider. The platform deliberately implements the identity mechanics in Java using Spring Boot, Spring Security, Spring Authorization Server, PostgreSQL and a dedicated Backend For Frontend (BFF). For most production organizations, the default recommendation remains a hardened, well-operated off-the-shelf or managed Identity Provider unless there is a justified requirement to own identity-server implementation risk. This build exists to make the mechanics, controls, failure modes and verification obligations explicit; Keycloak may still be used as a standards/reference comparison.</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security-architecture.png"/>
                    <pic:cNvPicPr/>
                  </pic:nvPicPr>
                  <pic:blipFill>
                    <a:blip r:embed="rId10"/>
                    <a:stretch>
                      <a:fillRect/>
                    </a:stretch>
                  </pic:blipFill>
                  <pic:spPr>
                    <a:xfrm>
                      <a:off x="0" y="0"/>
                      <a:ext cx="6309360" cy="4206240"/>
                    </a:xfrm>
                    <a:prstGeom prst="rect"/>
                  </pic:spPr>
                </pic:pic>
              </a:graphicData>
            </a:graphic>
          </wp:inline>
        </w:drawing>
      </w:r>
    </w:p>
    <w:p>
      <w:pPr>
        <w:pStyle w:val="Caption"/>
        <w:jc w:val="center"/>
      </w:pPr>
      <w:r>
        <w:t xml:space="preserve">Figure 23-1. Custom Authentication &amp; Authorization Server with BFF - illustrative component view. Section 24.1 remains the normative text view; this figure is retained because it carries the UI, data-store and integration detail the text view omits.</w:t>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ADR baseline</w:t>
      </w:r>
    </w:p>
    <w:p>
      <w:pPr>
        <w:pStyle w:val="ListBullet"/>
      </w:pPr>
      <w:r>
        <w:t>ADR-001 - Zero Trust Security Boundaries</w:t>
      </w:r>
    </w:p>
    <w:p>
      <w:pPr>
        <w:pStyle w:val="ListBullet"/>
      </w:pPr>
      <w:r>
        <w:t>ADR-002 - Human, Device and Workload Identity Model</w:t>
      </w:r>
    </w:p>
    <w:p>
      <w:pPr>
        <w:pStyle w:val="ListBullet"/>
      </w:pPr>
      <w:r>
        <w:t>ADR-003 - OIDC Authorization Code + PKCE S256</w:t>
      </w:r>
    </w:p>
    <w:p>
      <w:pPr>
        <w:pStyle w:val="ListBullet"/>
      </w:pPr>
      <w:r>
        <w:t>ADR-004 - MFA, WebAuthn and Step-Up Authentication</w:t>
      </w:r>
    </w:p>
    <w:p>
      <w:pPr>
        <w:pStyle w:val="ListBullet"/>
      </w:pPr>
      <w:r>
        <w:t>ADR-005 - BFF and Browser Token Custody</w:t>
      </w:r>
    </w:p>
    <w:p>
      <w:pPr>
        <w:pStyle w:val="ListBullet"/>
      </w:pPr>
      <w:r>
        <w:t>ADR-006 - Token, Session, Device and Revocation Model</w:t>
      </w:r>
    </w:p>
    <w:p>
      <w:pPr>
        <w:pStyle w:val="ListBullet"/>
      </w:pPr>
      <w:r>
        <w:t>ADR-007 - RBAC + ABAC + Resource Authorization</w:t>
      </w:r>
    </w:p>
    <w:p>
      <w:pPr>
        <w:pStyle w:val="ListBullet"/>
      </w:pPr>
      <w:r>
        <w:t>ADR-008 - PDP / PEP Authorization Architecture</w:t>
      </w:r>
    </w:p>
    <w:p>
      <w:pPr>
        <w:pStyle w:val="ListBullet"/>
      </w:pPr>
      <w:r>
        <w:t>ADR-009 - SPIFFE/SPIRE + mTLS Workload Identity</w:t>
      </w:r>
    </w:p>
    <w:p>
      <w:pPr>
        <w:pStyle w:val="ListBullet"/>
      </w:pPr>
      <w:r>
        <w:t>ADR-010 - Database, Kafka, Secrets and Cryptographic Key Security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p>
      <w:r/>
    </w:p>
    <w:p>
      <w:pPr>
        <w:pStyle w:val="Heading1"/>
      </w:pPr>
      <w:r>
        <w:t>24. Security Architecture Corrections and Production Readiness v1.3</w:t>
      </w:r>
    </w:p>
    <w:p>
      <w:r>
        <w:t>This revision closes four architecture gaps: account recovery, multi-tenancy, delivery resourcing, and authorization-path latency. It also turns the security fitness functions into executable platform tests.</w:t>
      </w:r>
    </w:p>
    <w:p>
      <w:pPr>
        <w:pStyle w:val="Heading2"/>
      </w:pPr>
      <w:r>
        <w:t>24.1 Normative Target Architecture</w:t>
      </w:r>
    </w:p>
    <w:p>
      <w:r>
        <w:rPr>
          <w:rFonts w:ascii="Consolas" w:hAnsi="Consolas"/>
          <w:sz w:val="17"/>
        </w:rPr>
        <w:t>React UI</w:t>
        <w:br/>
        <w:t xml:space="preserve">  |  HTTPS + Secure/HttpOnly/SameSite session cookie</w:t>
        <w:br/>
        <w:t xml:space="preserve">  v</w:t>
        <w:br/>
        <w:t>Spring Boot BFF</w:t>
        <w:br/>
        <w:t xml:space="preserve">  |-- CSRF / CORS / CSP / rate limits</w:t>
        <w:br/>
        <w:t xml:space="preserve">  |-- OAuth client; tokens remain server-side</w:t>
        <w:br/>
        <w:t xml:space="preserve">  |</w:t>
        <w:br/>
        <w:t xml:space="preserve">  +--&gt; Java Authorization Server</w:t>
        <w:br/>
        <w:t xml:space="preserve">  |      Spring Boot + Spring Security + Spring Authorization Server</w:t>
        <w:br/>
        <w:t xml:space="preserve">  |      OIDC + Authorization Code + PKCE S256</w:t>
        <w:br/>
        <w:t xml:space="preserve">  |      Argon2id password hashing</w:t>
        <w:br/>
        <w:t xml:space="preserve">  |      Passkeys/WebAuthn (preferred high assurance)</w:t>
        <w:br/>
        <w:t xml:space="preserve">  |      TOTP (fallback / medium assurance)</w:t>
        <w:br/>
        <w:t xml:space="preserve">  |      Token issuance, rotation, revocation, JWKS</w:t>
        <w:br/>
        <w:t xml:space="preserve">  |      Account recovery + session/device security</w:t>
        <w:br/>
        <w:t xml:space="preserve">  |</w:t>
        <w:br/>
        <w:t xml:space="preserve">  +--&gt; Spring Resource Servers</w:t>
        <w:br/>
        <w:t xml:space="preserve">         JWT issuer + audience + time validation</w:t>
        <w:br/>
        <w:t xml:space="preserve">         RBAC + ABAC + resource/tenant authorization</w:t>
        <w:br/>
        <w:t xml:space="preserve">         PEP -&gt; PDP for centrally governed decisions</w:t>
        <w:br/>
        <w:t xml:space="preserve">         Java domain invariants remain local</w:t>
        <w:br/>
        <w:br/>
        <w:t>Workload plane: SPIFFE/SPIRE + mTLS</w:t>
        <w:br/>
        <w:t>Data plane: PostgreSQL least privilege + Kafka ACLs + secrets/KMS</w:t>
        <w:br/>
        <w:t>Security plane: audit events -&gt; Kafka/SIEM -&gt; detection -&gt; containment/revocation</w:t>
      </w:r>
    </w:p>
    <w:p>
      <w:pPr>
        <w:pStyle w:val="Heading2"/>
      </w:pPr>
      <w:r>
        <w:t>24.2 Account Recovery Threat Model</w:t>
      </w:r>
    </w:p>
    <w:p>
      <w:r>
        <w:t>Account recovery is an authentication path, not an administrative convenience. Recovery must never provide a lower-assurance shortcut around passkeys, MFA, session revocation, or privileged-account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Recovery level</w:t>
            </w:r>
          </w:p>
        </w:tc>
        <w:tc>
          <w:tcPr>
            <w:tcW w:type="dxa" w:w="2520"/>
          </w:tcPr>
          <w:p>
            <w:r>
              <w:t>Example subject</w:t>
            </w:r>
          </w:p>
        </w:tc>
        <w:tc>
          <w:tcPr>
            <w:tcW w:type="dxa" w:w="2520"/>
          </w:tcPr>
          <w:p>
            <w:r>
              <w:t>Minimum recovery controls</w:t>
            </w:r>
          </w:p>
        </w:tc>
        <w:tc>
          <w:tcPr>
            <w:tcW w:type="dxa" w:w="2520"/>
          </w:tcPr>
          <w:p>
            <w:r>
              <w:t>Post-recovery action</w:t>
            </w:r>
          </w:p>
        </w:tc>
      </w:tr>
      <w:tr>
        <w:tc>
          <w:tcPr>
            <w:tcW w:type="dxa" w:w="2520"/>
          </w:tcPr>
          <w:p>
            <w:r>
              <w:t>R1 - Standard</w:t>
            </w:r>
          </w:p>
        </w:tc>
        <w:tc>
          <w:tcPr>
            <w:tcW w:type="dxa" w:w="2520"/>
          </w:tcPr>
          <w:p>
            <w:r>
              <w:t>Normal user with verified email</w:t>
            </w:r>
          </w:p>
        </w:tc>
        <w:tc>
          <w:tcPr>
            <w:tcW w:type="dxa" w:w="2520"/>
          </w:tcPr>
          <w:p>
            <w:r>
              <w:t>Single-use, short-lived reset token; rate limiting; enumeration resistance; risk checks; no security questions</w:t>
            </w:r>
          </w:p>
        </w:tc>
        <w:tc>
          <w:tcPr>
            <w:tcW w:type="dxa" w:w="2520"/>
          </w:tcPr>
          <w:p>
            <w:r>
              <w:t>Revoke refresh-token family; rotate session; notify user; security event</w:t>
            </w:r>
          </w:p>
        </w:tc>
      </w:tr>
      <w:tr>
        <w:tc>
          <w:tcPr>
            <w:tcW w:type="dxa" w:w="2520"/>
          </w:tcPr>
          <w:p>
            <w:r>
              <w:t>R2 - Elevated</w:t>
            </w:r>
          </w:p>
        </w:tc>
        <w:tc>
          <w:tcPr>
            <w:tcW w:type="dxa" w:w="2520"/>
          </w:tcPr>
          <w:p>
            <w:r>
              <w:t>User with MFA/passkey enrolled</w:t>
            </w:r>
          </w:p>
        </w:tc>
        <w:tc>
          <w:tcPr>
            <w:tcW w:type="dxa" w:w="2520"/>
          </w:tcPr>
          <w:p>
            <w:r>
              <w:t>Verified recovery channel plus existing factor or recovery code where available; stronger risk checks</w:t>
            </w:r>
          </w:p>
        </w:tc>
        <w:tc>
          <w:tcPr>
            <w:tcW w:type="dxa" w:w="2520"/>
          </w:tcPr>
          <w:p>
            <w:r>
              <w:t>Revoke all sessions; require factor re-enrollment review; notify all verified channels</w:t>
            </w:r>
          </w:p>
        </w:tc>
      </w:tr>
      <w:tr>
        <w:tc>
          <w:tcPr>
            <w:tcW w:type="dxa" w:w="2520"/>
          </w:tcPr>
          <w:p>
            <w:r>
              <w:t>R3 - Privileged</w:t>
            </w:r>
          </w:p>
        </w:tc>
        <w:tc>
          <w:tcPr>
            <w:tcW w:type="dxa" w:w="2520"/>
          </w:tcPr>
          <w:p>
            <w:r>
              <w:t>Admin/support/security-sensitive user</w:t>
            </w:r>
          </w:p>
        </w:tc>
        <w:tc>
          <w:tcPr>
            <w:tcW w:type="dxa" w:w="2520"/>
          </w:tcPr>
          <w:p>
            <w:r>
              <w:t>No email-only reset. Require phishing-resistant factor or controlled manual recovery with dual approval</w:t>
            </w:r>
          </w:p>
        </w:tc>
        <w:tc>
          <w:tcPr>
            <w:tcW w:type="dxa" w:w="2520"/>
          </w:tcPr>
          <w:p>
            <w:r>
              <w:t>Global revocation; privileged-access hold until re-verification; immutable audit</w:t>
            </w:r>
          </w:p>
        </w:tc>
      </w:tr>
      <w:tr>
        <w:tc>
          <w:tcPr>
            <w:tcW w:type="dxa" w:w="2520"/>
          </w:tcPr>
          <w:p>
            <w:r>
              <w:t>R4 - Lost-all-factors</w:t>
            </w:r>
          </w:p>
        </w:tc>
        <w:tc>
          <w:tcPr>
            <w:tcW w:type="dxa" w:w="2520"/>
          </w:tcPr>
          <w:p>
            <w:r>
              <w:t>No usable authenticators</w:t>
            </w:r>
          </w:p>
        </w:tc>
        <w:tc>
          <w:tcPr>
            <w:tcW w:type="dxa" w:w="2520"/>
          </w:tcPr>
          <w:p>
            <w:r>
              <w:t>High-friction identity proofing/manual process; cooling-off period; dual control; no help-desk unilateral override</w:t>
            </w:r>
          </w:p>
        </w:tc>
        <w:tc>
          <w:tcPr>
            <w:tcW w:type="dxa" w:w="2520"/>
          </w:tcPr>
          <w:p>
            <w:r>
              <w:t>Global revocation; delayed restoration; alerts; mandatory re-enrollment</w:t>
            </w:r>
          </w:p>
        </w:tc>
      </w:tr>
    </w:tbl>
    <w:p>
      <w:r>
        <w:t>Recovery-specific threats and controls:</w:t>
      </w:r>
    </w:p>
    <w:p>
      <w:pPr>
        <w:pStyle w:val="ListBullet"/>
      </w:pPr>
      <w:r>
        <w:t>Email takeover: email alone must not recover privileged accounts; recovery links are single-use, short-lived and bound to the recovery transaction.</w:t>
      </w:r>
    </w:p>
    <w:p>
      <w:pPr>
        <w:pStyle w:val="ListBullet"/>
      </w:pPr>
      <w:r>
        <w:t>Help-desk social engineering: support agents cannot bypass authentication policy. High-risk recovery uses dual approval, explicit evidence capture, reason codes and immutable audit.</w:t>
      </w:r>
    </w:p>
    <w:p>
      <w:pPr>
        <w:pStyle w:val="ListBullet"/>
      </w:pPr>
      <w:r>
        <w:t>SIM-swap / SMS interception: SMS and email OTP are low-assurance fallback mechanisms only; they are not accepted as phishing-resistant authentication.</w:t>
      </w:r>
    </w:p>
    <w:p>
      <w:pPr>
        <w:pStyle w:val="ListBullet"/>
      </w:pPr>
      <w:r>
        <w:t>User enumeration: registration, forgot-password and recovery responses do not reveal whether an account exists.</w:t>
      </w:r>
    </w:p>
    <w:p>
      <w:pPr>
        <w:pStyle w:val="ListBullet"/>
      </w:pPr>
      <w:r>
        <w:t>Reset-token theft/replay: store only protected token material, enforce expiry and one-time use, invalidate on successful reset, and detect replay.</w:t>
      </w:r>
    </w:p>
    <w:p>
      <w:pPr>
        <w:pStyle w:val="ListBullet"/>
      </w:pPr>
      <w:r>
        <w:t>Recovery after compromise: successful password or factor recovery triggers session/token revocation according to the recovery assurance level.</w:t>
      </w:r>
    </w:p>
    <w:p>
      <w:pPr>
        <w:pStyle w:val="ListBullet"/>
      </w:pPr>
      <w:r>
        <w:t>Factor replacement: adding/replacing a passkey or MFA factor is itself a sensitive operation requiring recent authentication or controlled recovery.</w:t>
      </w:r>
    </w:p>
    <w:p>
      <w:pPr>
        <w:pStyle w:val="Heading2"/>
      </w:pPr>
      <w:r>
        <w:t>24.3 Multi-Tenancy Security Model</w:t>
      </w:r>
    </w:p>
    <w:p>
      <w:r>
        <w:t>Tenant isolation is server-enforced. A tenant identifier supplied by the browser or carried in a token is context, not authoritative proof that the subject may access a resource. The resource's tenant is derived from trusted server-side data, and access is granted only after membership/entitlement is evaluated.</w:t>
      </w:r>
    </w:p>
    <w:p>
      <w:r>
        <w:rPr>
          <w:rFonts w:ascii="Consolas" w:hAnsi="Consolas"/>
          <w:sz w:val="17"/>
        </w:rPr>
        <w:t>subject</w:t>
        <w:br/>
        <w:t xml:space="preserve">  |</w:t>
        <w:br/>
        <w:t xml:space="preserve">  +-- memberships: [tenant-A, tenant-B]</w:t>
        <w:br/>
        <w:t xml:space="preserve">  |</w:t>
        <w:br/>
        <w:t xml:space="preserve">  +-- active tenant context: tenant-A</w:t>
        <w:br/>
        <w:t xml:space="preserve">             |</w:t>
        <w:br/>
        <w:t>request ------+</w:t>
        <w:br/>
        <w:t xml:space="preserve">             v</w:t>
        <w:br/>
        <w:t>load resource by opaque resource ID</w:t>
        <w:br/>
        <w:t xml:space="preserve">             |</w:t>
        <w:br/>
        <w:t xml:space="preserve">             v</w:t>
        <w:br/>
        <w:t>derive resource.tenant_id from database</w:t>
        <w:br/>
        <w:t xml:space="preserve">             |</w:t>
        <w:br/>
        <w:t xml:space="preserve">             v</w:t>
        <w:br/>
        <w:t>membership(subject, resource.tenant_id)?</w:t>
        <w:br/>
        <w:t xml:space="preserve">             |</w:t>
        <w:br/>
        <w:t xml:space="preserve">      +------+------+</w:t>
        <w:br/>
        <w:t xml:space="preserve">      |             |</w:t>
        <w:br/>
        <w:t xml:space="preserve">     YES           NO</w:t>
        <w:br/>
        <w:t xml:space="preserve">      |             |</w:t>
        <w:br/>
        <w:t xml:space="preserve"> policy checks     DENY</w:t>
        <w:br/>
        <w:t xml:space="preserve">      |</w:t>
        <w:br/>
        <w:t xml:space="preserve"> RBAC + ABAC + domain rules</w:t>
      </w:r>
    </w:p>
    <w:p>
      <w:pPr>
        <w:pStyle w:val="ListBullet"/>
      </w:pPr>
      <w:r>
        <w:t>A subject may belong to multiple tenants through an explicit subject_tenant_membership relation.</w:t>
      </w:r>
    </w:p>
    <w:p>
      <w:pPr>
        <w:pStyle w:val="ListBullet"/>
      </w:pPr>
      <w:r>
        <w:t>The active tenant may be represented in session/token context to reduce ambiguity, but it never replaces server-side resource tenancy validation.</w:t>
      </w:r>
    </w:p>
    <w:p>
      <w:pPr>
        <w:pStyle w:val="ListBullet"/>
      </w:pPr>
      <w:r>
        <w:t>Resource tenant ownership is derived from the authoritative resource record, never solely from a URL/header/body claim.</w:t>
      </w:r>
    </w:p>
    <w:p>
      <w:pPr>
        <w:pStyle w:val="ListBullet"/>
      </w:pPr>
      <w:r>
        <w:t>Tenant switching is an explicit operation that verifies membership and updates the server-side session/context; privileged tenant switches can require step-up authentication.</w:t>
      </w:r>
    </w:p>
    <w:p>
      <w:pPr>
        <w:pStyle w:val="ListBullet"/>
      </w:pPr>
      <w:r>
        <w:t>Global/platform administrators use a distinct privileged authorization path with explicit reason/audit requirements; they do not receive implicit cross-tenant access.</w:t>
      </w:r>
    </w:p>
    <w:p>
      <w:pPr>
        <w:pStyle w:val="ListBullet"/>
      </w:pPr>
      <w:r>
        <w:t>Repository/query boundaries include tenant predicates or tenant-scoped data access abstractions to reduce accidental cross-tenant reads.</w:t>
      </w:r>
    </w:p>
    <w:p>
      <w:pPr>
        <w:pStyle w:val="ListBullet"/>
      </w:pPr>
      <w:r>
        <w:t>Cross-tenant IDOR/BOLA tests must cover guessed IDs, changed tenant headers, stale tenant context, multi-tenant subjects, admin paths and bulk/list endpoints.</w:t>
      </w:r>
    </w:p>
    <w:p>
      <w:pPr>
        <w:pStyle w:val="Heading2"/>
      </w:pPr>
      <w:r>
        <w:t>24.4 Authorization Performance and Resilience Budget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Initial target</w:t>
            </w:r>
          </w:p>
        </w:tc>
        <w:tc>
          <w:tcPr>
            <w:tcW w:type="dxa" w:w="2520"/>
          </w:tcPr>
          <w:p>
            <w:r>
              <w:t>Design rule</w:t>
            </w:r>
          </w:p>
        </w:tc>
        <w:tc>
          <w:tcPr>
            <w:tcW w:type="dxa" w:w="2520"/>
          </w:tcPr>
          <w:p>
            <w:r>
              <w:t>Failure behavior</w:t>
            </w:r>
          </w:p>
        </w:tc>
      </w:tr>
      <w:tr>
        <w:tc>
          <w:tcPr>
            <w:tcW w:type="dxa" w:w="2520"/>
          </w:tcPr>
          <w:p>
            <w:r>
              <w:t>Local JWT validation</w:t>
            </w:r>
          </w:p>
        </w:tc>
        <w:tc>
          <w:tcPr>
            <w:tcW w:type="dxa" w:w="2520"/>
          </w:tcPr>
          <w:p>
            <w:r>
              <w:t>p99 &lt; 5 ms added service latency</w:t>
            </w:r>
          </w:p>
        </w:tc>
        <w:tc>
          <w:tcPr>
            <w:tcW w:type="dxa" w:w="2520"/>
          </w:tcPr>
          <w:p>
            <w:r>
              <w:t>Cache JWKS with bounded refresh; no IdP round trip per request</w:t>
            </w:r>
          </w:p>
        </w:tc>
        <w:tc>
          <w:tcPr>
            <w:tcW w:type="dxa" w:w="2520"/>
          </w:tcPr>
          <w:p>
            <w:r>
              <w:t>Reject unverifiable tokens</w:t>
            </w:r>
          </w:p>
        </w:tc>
      </w:tr>
      <w:tr>
        <w:tc>
          <w:tcPr>
            <w:tcW w:type="dxa" w:w="2520"/>
          </w:tcPr>
          <w:p>
            <w:r>
              <w:t>PDP decision</w:t>
            </w:r>
          </w:p>
        </w:tc>
        <w:tc>
          <w:tcPr>
            <w:tcW w:type="dxa" w:w="2520"/>
          </w:tcPr>
          <w:p>
            <w:r>
              <w:t>p95 &lt; 15 ms; p99 &lt; 30 ms in-region</w:t>
            </w:r>
          </w:p>
        </w:tc>
        <w:tc>
          <w:tcPr>
            <w:tcW w:type="dxa" w:w="2520"/>
          </w:tcPr>
          <w:p>
            <w:r>
              <w:t>One policy call per protected boundary where possible; batch/compose decisions</w:t>
            </w:r>
          </w:p>
        </w:tc>
        <w:tc>
          <w:tcPr>
            <w:tcW w:type="dxa" w:w="2520"/>
          </w:tcPr>
          <w:p>
            <w:r>
              <w:t>Fail closed for privileged writes; documented degraded policy for low-risk reads</w:t>
            </w:r>
          </w:p>
        </w:tc>
      </w:tr>
      <w:tr>
        <w:tc>
          <w:tcPr>
            <w:tcW w:type="dxa" w:w="2520"/>
          </w:tcPr>
          <w:p>
            <w:r>
              <w:t>Decision cache</w:t>
            </w:r>
          </w:p>
        </w:tc>
        <w:tc>
          <w:tcPr>
            <w:tcW w:type="dxa" w:w="2520"/>
          </w:tcPr>
          <w:p>
            <w:r>
              <w:t>0-30 s depending on policy sensitivity</w:t>
            </w:r>
          </w:p>
        </w:tc>
        <w:tc>
          <w:tcPr>
            <w:tcW w:type="dxa" w:w="2520"/>
          </w:tcPr>
          <w:p>
            <w:r>
              <w:t>Cache only when subject/resource/action/context key is safe; never cache dynamic high-risk decisions blindly</w:t>
            </w:r>
          </w:p>
        </w:tc>
        <w:tc>
          <w:tcPr>
            <w:tcW w:type="dxa" w:w="2520"/>
          </w:tcPr>
          <w:p>
            <w:r>
              <w:t>Expiry forces re-evaluation</w:t>
            </w:r>
          </w:p>
        </w:tc>
      </w:tr>
      <w:tr>
        <w:tc>
          <w:tcPr>
            <w:tcW w:type="dxa" w:w="2520"/>
          </w:tcPr>
          <w:p>
            <w:r>
              <w:t>Token exchange</w:t>
            </w:r>
          </w:p>
        </w:tc>
        <w:tc>
          <w:tcPr>
            <w:tcW w:type="dxa" w:w="2520"/>
          </w:tcPr>
          <w:p>
            <w:r>
              <w:t>Avoid on internal fan-out unless delegation/downscoping is required</w:t>
            </w:r>
          </w:p>
        </w:tc>
        <w:tc>
          <w:tcPr>
            <w:tcW w:type="dxa" w:w="2520"/>
          </w:tcPr>
          <w:p>
            <w:r>
              <w:t>Propagate/downscope deliberately; do not exchange at every hop by default</w:t>
            </w:r>
          </w:p>
        </w:tc>
        <w:tc>
          <w:tcPr>
            <w:tcW w:type="dxa" w:w="2520"/>
          </w:tcPr>
          <w:p>
            <w:r>
              <w:t>No silent fallback to broader token</w:t>
            </w:r>
          </w:p>
        </w:tc>
      </w:tr>
      <w:tr>
        <w:tc>
          <w:tcPr>
            <w:tcW w:type="dxa" w:w="2520"/>
          </w:tcPr>
          <w:p>
            <w:r>
              <w:t>End-to-end security overhead</w:t>
            </w:r>
          </w:p>
        </w:tc>
        <w:tc>
          <w:tcPr>
            <w:tcW w:type="dxa" w:w="2520"/>
          </w:tcPr>
          <w:p>
            <w:r>
              <w:t>Budget &lt;= 10% of API p99 latency for normal protected calls</w:t>
            </w:r>
          </w:p>
        </w:tc>
        <w:tc>
          <w:tcPr>
            <w:tcW w:type="dxa" w:w="2520"/>
          </w:tcPr>
          <w:p>
            <w:r>
              <w:t>Measure baseline vs security-enabled path in WP-05</w:t>
            </w:r>
          </w:p>
        </w:tc>
        <w:tc>
          <w:tcPr>
            <w:tcW w:type="dxa" w:w="2520"/>
          </w:tcPr>
          <w:p>
            <w:r>
              <w:t>Release gate if budget regresses without approved exception</w:t>
            </w:r>
          </w:p>
        </w:tc>
      </w:tr>
    </w:tbl>
    <w:p>
      <w:r>
        <w:t>PDP slowness is treated separately from PDP unavailability. Timeouts, circuit breaking, bounded retries, queueing, connection pooling, cache hit ratio and policy-evaluation latency are mandatory telemetry. Fan-out paths must be modeled so that authorization calls do not multiply uncontrolled across service hops.</w:t>
      </w:r>
    </w:p>
    <w:p>
      <w:pPr>
        <w:pStyle w:val="Heading2"/>
      </w:pPr>
      <w:r>
        <w:t>24.5 Resourcing and Delivery Estimate</w:t>
      </w:r>
    </w:p>
    <w:p>
      <w:r>
        <w:t>These are planning ranges for a dedicated team building the platform to production quality. They are not commitments; integration constraints, compliance requirements and enterprise infrastructure can materially change elapsed time.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Indicative team</w:t>
            </w:r>
          </w:p>
        </w:tc>
        <w:tc>
          <w:tcPr>
            <w:tcW w:type="dxa" w:w="2016"/>
          </w:tcPr>
          <w:p>
            <w:r>
              <w:t>Elapsed time</w:t>
            </w:r>
          </w:p>
        </w:tc>
        <w:tc>
          <w:tcPr>
            <w:tcW w:type="dxa" w:w="2016"/>
          </w:tcPr>
          <w:p>
            <w:r>
              <w:t>Primary scope</w:t>
            </w:r>
          </w:p>
        </w:tc>
        <w:tc>
          <w:tcPr>
            <w:tcW w:type="dxa" w:w="2016"/>
          </w:tcPr>
          <w:p>
            <w:r>
              <w:t>First scope reduction under pressure</w:t>
            </w:r>
          </w:p>
        </w:tc>
      </w:tr>
      <w:tr>
        <w:tc>
          <w:tcPr>
            <w:tcW w:type="dxa" w:w="2016"/>
          </w:tcPr>
          <w:p>
            <w:r>
              <w:t>WP-01</w:t>
            </w:r>
          </w:p>
        </w:tc>
        <w:tc>
          <w:tcPr>
            <w:tcW w:type="dxa" w:w="2016"/>
          </w:tcPr>
          <w:p>
            <w:r>
              <w:t>2 backend/security + 1 frontend + shared architect</w:t>
            </w:r>
          </w:p>
        </w:tc>
        <w:tc>
          <w:tcPr>
            <w:tcW w:type="dxa" w:w="2016"/>
          </w:tcPr>
          <w:p>
            <w:r>
              <w:t>8-12 weeks</w:t>
            </w:r>
          </w:p>
        </w:tc>
        <w:tc>
          <w:tcPr>
            <w:tcW w:type="dxa" w:w="2016"/>
          </w:tcPr>
          <w:p>
            <w:r>
              <w:t>Identity server, registration/login, OIDC/PKCE, MFA, recovery foundation</w:t>
            </w:r>
          </w:p>
        </w:tc>
        <w:tc>
          <w:tcPr>
            <w:tcW w:type="dxa" w:w="2016"/>
          </w:tcPr>
          <w:p>
            <w:r>
              <w:t>Defer social login and nonessential UI polish; do not cut issuer/audience/recovery controls</w:t>
            </w:r>
          </w:p>
        </w:tc>
      </w:tr>
      <w:tr>
        <w:tc>
          <w:tcPr>
            <w:tcW w:type="dxa" w:w="2016"/>
          </w:tcPr>
          <w:p>
            <w:r>
              <w:t>WP-02</w:t>
            </w:r>
          </w:p>
        </w:tc>
        <w:tc>
          <w:tcPr>
            <w:tcW w:type="dxa" w:w="2016"/>
          </w:tcPr>
          <w:p>
            <w:r>
              <w:t>2 backend + 1 frontend + 1 QA/security</w:t>
            </w:r>
          </w:p>
        </w:tc>
        <w:tc>
          <w:tcPr>
            <w:tcW w:type="dxa" w:w="2016"/>
          </w:tcPr>
          <w:p>
            <w:r>
              <w:t>8-10 weeks</w:t>
            </w:r>
          </w:p>
        </w:tc>
        <w:tc>
          <w:tcPr>
            <w:tcW w:type="dxa" w:w="2016"/>
          </w:tcPr>
          <w:p>
            <w:r>
              <w:t>BFF, sessions/devices, rotation/reuse, revocation, browser hardening</w:t>
            </w:r>
          </w:p>
        </w:tc>
        <w:tc>
          <w:tcPr>
            <w:tcW w:type="dxa" w:w="2016"/>
          </w:tcPr>
          <w:p>
            <w:r>
              <w:t>Defer rich security-activity UX; retain BFF, CSRF and revocation</w:t>
            </w:r>
          </w:p>
        </w:tc>
      </w:tr>
      <w:tr>
        <w:tc>
          <w:tcPr>
            <w:tcW w:type="dxa" w:w="2016"/>
          </w:tcPr>
          <w:p>
            <w:r>
              <w:t>WP-03</w:t>
            </w:r>
          </w:p>
        </w:tc>
        <w:tc>
          <w:tcPr>
            <w:tcW w:type="dxa" w:w="2016"/>
          </w:tcPr>
          <w:p>
            <w:r>
              <w:t>2 backend/security + 1 QA</w:t>
            </w:r>
          </w:p>
        </w:tc>
        <w:tc>
          <w:tcPr>
            <w:tcW w:type="dxa" w:w="2016"/>
          </w:tcPr>
          <w:p>
            <w:r>
              <w:t>8-12 weeks</w:t>
            </w:r>
          </w:p>
        </w:tc>
        <w:tc>
          <w:tcPr>
            <w:tcW w:type="dxa" w:w="2016"/>
          </w:tcPr>
          <w:p>
            <w:r>
              <w:t>Resource servers, tenancy, RBAC/ABAC, PDP/PEP</w:t>
            </w:r>
          </w:p>
        </w:tc>
        <w:tc>
          <w:tcPr>
            <w:tcW w:type="dxa" w:w="2016"/>
          </w:tcPr>
          <w:p>
            <w:r>
              <w:t>Start with a narrow policy domain; do not fall back to role-only authorization</w:t>
            </w:r>
          </w:p>
        </w:tc>
      </w:tr>
      <w:tr>
        <w:tc>
          <w:tcPr>
            <w:tcW w:type="dxa" w:w="2016"/>
          </w:tcPr>
          <w:p>
            <w:r>
              <w:t>WP-04</w:t>
            </w:r>
          </w:p>
        </w:tc>
        <w:tc>
          <w:tcPr>
            <w:tcW w:type="dxa" w:w="2016"/>
          </w:tcPr>
          <w:p>
            <w:r>
              <w:t>2 platform/security + 1 backend</w:t>
            </w:r>
          </w:p>
        </w:tc>
        <w:tc>
          <w:tcPr>
            <w:tcW w:type="dxa" w:w="2016"/>
          </w:tcPr>
          <w:p>
            <w:r>
              <w:t>10-14 weeks</w:t>
            </w:r>
          </w:p>
        </w:tc>
        <w:tc>
          <w:tcPr>
            <w:tcW w:type="dxa" w:w="2016"/>
          </w:tcPr>
          <w:p>
            <w:r>
              <w:t>SPIFFE/SPIRE, mTLS, DB/Kafka isolation, secrets/KMS</w:t>
            </w:r>
          </w:p>
        </w:tc>
        <w:tc>
          <w:tcPr>
            <w:tcW w:type="dxa" w:w="2016"/>
          </w:tcPr>
          <w:p>
            <w:r>
              <w:t>Reduce number of integrated services first; retain workload identity and least privilege</w:t>
            </w:r>
          </w:p>
        </w:tc>
      </w:tr>
      <w:tr>
        <w:tc>
          <w:tcPr>
            <w:tcW w:type="dxa" w:w="2016"/>
          </w:tcPr>
          <w:p>
            <w:r>
              <w:t>WP-05</w:t>
            </w:r>
          </w:p>
        </w:tc>
        <w:tc>
          <w:tcPr>
            <w:tcW w:type="dxa" w:w="2016"/>
          </w:tcPr>
          <w:p>
            <w:r>
              <w:t>1 security + 1 QA/SDET + shared backend/platform</w:t>
            </w:r>
          </w:p>
        </w:tc>
        <w:tc>
          <w:tcPr>
            <w:tcW w:type="dxa" w:w="2016"/>
          </w:tcPr>
          <w:p>
            <w:r>
              <w:t>8-12 weeks</w:t>
            </w:r>
          </w:p>
        </w:tc>
        <w:tc>
          <w:tcPr>
            <w:tcW w:type="dxa" w:w="2016"/>
          </w:tcPr>
          <w:p>
            <w:r>
              <w:t>Telemetry, attack simulation, resilience/performance, production readiness</w:t>
            </w:r>
          </w:p>
        </w:tc>
        <w:tc>
          <w:tcPr>
            <w:tcW w:type="dxa" w:w="2016"/>
          </w:tcPr>
          <w:p>
            <w:r>
              <w:t>Reduce scenario breadth before removing critical negative tests or incident controls</w:t>
            </w:r>
          </w:p>
        </w:tc>
      </w:tr>
      <w:tr>
        <w:tc>
          <w:tcPr>
            <w:tcW w:type="dxa" w:w="2016"/>
          </w:tcPr>
          <w:p>
            <w:r>
              <w:t>Program range</w:t>
            </w:r>
          </w:p>
        </w:tc>
        <w:tc>
          <w:tcPr>
            <w:tcW w:type="dxa" w:w="2016"/>
          </w:tcPr>
          <w:p>
            <w:r>
              <w:t>Core 5-7 engineers plus part-time architecture/ops/compliance</w:t>
            </w:r>
          </w:p>
        </w:tc>
        <w:tc>
          <w:tcPr>
            <w:tcW w:type="dxa" w:w="2016"/>
          </w:tcPr>
          <w:p>
            <w:r>
              <w:t>~10-15 months with overlap; longer with enterprise dependencies</w:t>
            </w:r>
          </w:p>
        </w:tc>
        <w:tc>
          <w:tcPr>
            <w:tcW w:type="dxa" w:w="2016"/>
          </w:tcPr>
          <w:p>
            <w:r>
              <w:t>WP-01 through WP-05</w:t>
            </w:r>
          </w:p>
        </w:tc>
        <w:tc>
          <w:tcPr>
            <w:tcW w:type="dxa" w:w="2016"/>
          </w:tcPr>
          <w:p>
            <w:r>
              <w:t>Ship fewer integrations/use cases, not weaker security invariants</w:t>
            </w:r>
          </w:p>
        </w:tc>
      </w:tr>
    </w:tbl>
    <w:p>
      <w:pPr>
        <w:pStyle w:val="Heading2"/>
      </w:pPr>
      <w:r>
        <w:t>24.6 Security Fitness Functions Become Executable Tests</w:t>
      </w:r>
    </w:p>
    <w:p>
      <w:r>
        <w:t>Architecture fitness functions are release controls only when they execute. Every normative security invariant in Section 18 must map to a named automated test in a shared security-test module consumed by every Resource Server.</w:t>
      </w:r>
    </w:p>
    <w:p>
      <w:pPr>
        <w:pStyle w:val="ListBullet"/>
      </w:pPr>
      <w:r>
        <w:t>rejectsTokenWithWrongIssuer</w:t>
      </w:r>
    </w:p>
    <w:p>
      <w:pPr>
        <w:pStyle w:val="ListBullet"/>
      </w:pPr>
      <w:r>
        <w:t>rejectsTokenWithWrongAudience</w:t>
      </w:r>
    </w:p>
    <w:p>
      <w:pPr>
        <w:pStyle w:val="ListBullet"/>
      </w:pPr>
      <w:r>
        <w:t>rejectsExpiredToken</w:t>
      </w:r>
    </w:p>
    <w:p>
      <w:pPr>
        <w:pStyle w:val="ListBullet"/>
      </w:pPr>
      <w:r>
        <w:t>rejectsUnsignedOrInvalidSignatureToken</w:t>
      </w:r>
    </w:p>
    <w:p>
      <w:pPr>
        <w:pStyle w:val="ListBullet"/>
      </w:pPr>
      <w:r>
        <w:t>rejectsCrossTenantResourceAccess</w:t>
      </w:r>
    </w:p>
    <w:p>
      <w:pPr>
        <w:pStyle w:val="ListBullet"/>
      </w:pPr>
      <w:r>
        <w:t>rejectsMissingRequiredAuthenticationLevel</w:t>
      </w:r>
    </w:p>
    <w:p>
      <w:pPr>
        <w:pStyle w:val="ListBullet"/>
      </w:pPr>
      <w:r>
        <w:t>rejectsRevokedOrPreSecurityEpochSession</w:t>
      </w:r>
    </w:p>
    <w:p>
      <w:pPr>
        <w:pStyle w:val="ListBullet"/>
      </w:pPr>
      <w:r>
        <w:t>rejectsRefreshTokenReuse</w:t>
      </w:r>
    </w:p>
    <w:p>
      <w:pPr>
        <w:pStyle w:val="ListBullet"/>
      </w:pPr>
      <w:r>
        <w:t>deniesPolicyDecisionOnPrivilegedWriteWhenPdpUnavailable</w:t>
      </w:r>
    </w:p>
    <w:p>
      <w:pPr>
        <w:pStyle w:val="ListBullet"/>
      </w:pPr>
      <w:r>
        <w:t>recordsCorrelatedSecurityDecisionEvent</w:t>
      </w:r>
    </w:p>
    <w:p>
      <w:pPr>
        <w:pStyle w:val="ListBullet"/>
      </w:pPr>
      <w:r>
        <w:t xml:space="preserve">rejectsTokenWithWrongTypHeader</w:t>
      </w:r>
    </w:p>
    <w:p>
      <w:pPr>
        <w:pStyle w:val="ListBullet"/>
      </w:pPr>
      <w:r>
        <w:t xml:space="preserve">rejectsTokenMissingClientId</w:t>
      </w:r>
    </w:p>
    <w:p>
      <w:r>
        <w:t>Concrete defect class: JwtValidators.createDefaultWithIssuer(...) supplies the standard timestamp checks plus issuer validation, but audience is an application-specific constraint and must be wired explicitly. Minting an aud claim is not equivalent to validating it.</w:t>
      </w:r>
    </w:p>
    <w:p>
      <w:r>
        <w:t>Reference Spring Security validator chain:</w:t>
      </w:r>
    </w:p>
    <w:p>
      <w:r>
        <w:rPr>
          <w:rFonts w:ascii="Consolas" w:hAnsi="Consolas"/>
          <w:sz w:val="16"/>
        </w:rPr>
        <w:t>@Bean</w:t>
        <w:br/>
        <w:t>JwtDecoder jwtDecoder(SecurityProperties props) {</w:t>
        <w:br/>
        <w:t xml:space="preserve">    NimbusJwtDecoder decoder =</w:t>
        <w:br/>
        <w:t xml:space="preserve">        NimbusJwtDecoder.withJwkSetUri(props.jwkSetUri()).build();</w:t>
        <w:br/>
        <w:br/>
        <w:t xml:space="preserve">    OAuth2TokenValidator&lt;Jwt&gt; validator =</w:t>
        <w:br/>
        <w:t xml:space="preserve">        JwtValidators.createAtJwtValidator()</w:t>
        <w:br/>
        <w:t xml:space="preserve">            .issuer(props.issuer())</w:t>
        <w:br/>
        <w:t xml:space="preserve">            .audience(props.requiredAudience())</w:t>
        <w:br/>
        <w:t xml:space="preserve">            .build();</w:t>
        <w:br/>
        <w:br/>
        <w:t xml:space="preserve">    decoder.setJwtValidator(validator);</w:t>
        <w:br/>
        <w:t xml:space="preserve">    return decoder;</w:t>
        <w:br/>
        <w:t>}</w:t>
      </w:r>
    </w:p>
    <w:p>
      <w:r>
        <w:t>The shared test module must prove both positive and negative cases. A service that omits the audience validator must fail its build/test gate before CI/CD architecture is introduced.</w:t>
      </w:r>
    </w:p>
    <w:p>
      <w:pPr>
        <w:pStyle w:val="Heading2"/>
      </w:pPr>
      <w:r>
        <w:t>24.7 Password and MFA Position</w:t>
      </w:r>
    </w:p>
    <w:p>
      <w:r>
        <w:t>Password hashing standard: Argon2id with parameters benchmarked for the deployment environment and periodically re-evaluated. bcrypt is not the target default for new credentials. Passkeys/WebAuthn are the preferred phishing-resistant authenticator for high-assurance use. TOTP may be retained as a medium-assurance fallback. SMS/email OTP, if business requirements force their use, are low-assurance recovery/fallback channels and must not satisfy privileged phishing-resistant authentication requirements.</w:t>
      </w:r>
    </w:p>
    <w:p>
      <w:pPr>
        <w:pStyle w:val="Heading2"/>
      </w:pPr>
      <w:r>
        <w:t>24.8 Additional Attack Simulations</w:t>
      </w:r>
    </w:p>
    <w:p>
      <w:pPr>
        <w:pStyle w:val="ListBullet"/>
      </w:pPr>
      <w:r>
        <w:t>Password-reset link theft and replay</w:t>
      </w:r>
    </w:p>
    <w:p>
      <w:pPr>
        <w:pStyle w:val="ListBullet"/>
      </w:pPr>
      <w:r>
        <w:t>Email-account takeover followed by recovery attempt</w:t>
      </w:r>
    </w:p>
    <w:p>
      <w:pPr>
        <w:pStyle w:val="ListBullet"/>
      </w:pPr>
      <w:r>
        <w:t>Help-desk social-engineering recovery attempt</w:t>
      </w:r>
    </w:p>
    <w:p>
      <w:pPr>
        <w:pStyle w:val="ListBullet"/>
      </w:pPr>
      <w:r>
        <w:t>MFA/passkey replacement through recovery</w:t>
      </w:r>
    </w:p>
    <w:p>
      <w:pPr>
        <w:pStyle w:val="ListBullet"/>
      </w:pPr>
      <w:r>
        <w:t>Tenant-header/body tampering</w:t>
      </w:r>
    </w:p>
    <w:p>
      <w:pPr>
        <w:pStyle w:val="ListBullet"/>
      </w:pPr>
      <w:r>
        <w:t>Multi-tenant subject accessing a resource outside active/authorized membership</w:t>
      </w:r>
    </w:p>
    <w:p>
      <w:pPr>
        <w:pStyle w:val="ListBullet"/>
      </w:pPr>
      <w:r>
        <w:t>PDP latency spike, timeout and partial degradation</w:t>
      </w:r>
    </w:p>
    <w:p>
      <w:pPr>
        <w:pStyle w:val="ListBullet"/>
      </w:pPr>
      <w:r>
        <w:t>Authorization cache staleness after entitlement or risk-state change</w:t>
      </w:r>
    </w:p>
    <w:p>
      <w:r>
        <w:br w:type="page"/>
      </w:r>
    </w:p>
    <w:p>
      <w:pPr>
        <w:pStyle w:val="Heading1"/>
      </w:pPr>
      <w:r>
        <w:t>25. v1.3 Corrections: Validation, Revocation Latency and Crypto Agility</w:t>
      </w:r>
    </w:p>
    <w:p>
      <w:pPr>
        <w:pStyle w:val="Heading2"/>
      </w:pPr>
      <w:r>
        <w:t>25.1 JWT Validation - RFC 9068 Access-Token Profile</w:t>
      </w:r>
    </w:p>
    <w:p>
      <w:r>
        <w:t>The reference implementation should prefer Spring Security's first-party RFC 9068 validator builder rather than a hand-written audience lambda. Spring Security 6.5 introduced JwtAudienceValidator and JwtValidators.createAtJwtValidator(); the latter is the preferred target here because this platform issues JWT access tokens and the builder composes the required access-token-profile validation around issuer and audience.</w:t>
      </w:r>
    </w:p>
    <w:p>
      <w:r>
        <w:rPr>
          <w:rFonts w:ascii="Consolas" w:hAnsi="Consolas"/>
          <w:sz w:val="17"/>
        </w:rPr>
        <w:t>OAuth2TokenValidator&lt;Jwt&gt; validator =</w:t>
        <w:br/>
        <w:t xml:space="preserve">    JwtValidators.createAtJwtValidator()</w:t>
        <w:br/>
        <w:t xml:space="preserve">        .issuer(properties.issuer())</w:t>
        <w:br/>
        <w:t xml:space="preserve">        .audience(properties.requiredAudience())</w:t>
        <w:br/>
        <w:t xml:space="preserve">        .build();</w:t>
        <w:br/>
        <w:br/>
        <w:t>decoder.setJwtValidator(validator);</w:t>
      </w:r>
    </w:p>
    <w:p>
      <w:r>
        <w:t>This avoids a null-handling defect in a custom jwt.getAudience().contains(...) validator when aud is absent, and makes the implementation intent explicit. Negative tests remain mandatory: missing aud, wrong aud, wrong iss, expired token, invalid signature, invalid typ/profile and missing required access-token claims.</w:t>
      </w:r>
    </w:p>
    <w:p>
      <w:r>
        <w:t xml:space="preserve">Adoption note - this is a coordinated issuer and validator change, not a validator-side swap. JwtValidators.createAtJwtValidator() builds an RFC 9068 at+jwt access-token profile validator. Verified against Spring Security 6.5.0, the builder exposes issuer(String), audience(String), clientId(String), validators(Consumer) and build(); the profile additionally requires the JWS header typ to be at+jwt (or application/at+jwt) and the claims sub, client_id, exp, iat and jti. An Authorization Server that continues to mint tokens with the default JWT header type and no client_id claim will have every access token rejected once resource servers adopt this validator.</w:t>
      </w:r>
    </w:p>
    <w:p>
      <w:r>
        <w:rPr>
          <w:rFonts w:ascii="Consolas" w:hAnsi="Consolas"/>
          <w:sz w:val="16"/>
        </w:rPr>
        <w:t xml:space="preserve">JwsHeader header = JwsHeader.with(SignatureAlgorithm.RS256)</w:t>
        <w:br/>
        <w:t xml:space="preserve">        .type("at+jwt")                       // RFC 9068 header type</w:t>
        <w:br/>
        <w:t xml:space="preserve">        .build();</w:t>
        <w:br/>
        <w:br/>
        <w:t xml:space="preserve">JwtClaimsSet claims = JwtClaimsSet.builder()</w:t>
        <w:br/>
        <w:t xml:space="preserve">        .issuer(props.issuer())</w:t>
        <w:br/>
        <w:t xml:space="preserve">        .audience(List.of(props.requiredAudience()))</w:t>
        <w:br/>
        <w:t xml:space="preserve">        .subject(user.getEmail())</w:t>
        <w:br/>
        <w:t xml:space="preserve">        .id(UUID.randomUUID().toString())      // jti</w:t>
        <w:br/>
        <w:t xml:space="preserve">        .issuedAt(now)</w:t>
        <w:br/>
        <w:t xml:space="preserve">        .expiresAt(now.plus(props.accessTokenTtl()))</w:t>
        <w:br/>
        <w:t xml:space="preserve">        .claim("client_id", clientId)          // required by the profile</w:t>
        <w:br/>
        <w:t xml:space="preserve">        .build();</w:t>
      </w:r>
    </w:p>
    <w:p>
      <w:r>
        <w:t xml:space="preserve">Sequence the rollout so issuance emits the at+jwt profile before any resource server enforces it, or run a bounded dual-accept window. The two new negative tests in Section 24.6 - rejectsTokenWithWrongTypHeader and rejectsTokenMissingClientId - gate this change.</w:t>
      </w:r>
    </w:p>
    <w:p>
      <w:pPr>
        <w:pStyle w:val="Heading2"/>
      </w:pPr>
      <w:r>
        <w:t>25.2 Continuous Verification / Security-Epoch Latency Budget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Control</w:t>
            </w:r>
          </w:p>
        </w:tc>
        <w:tc>
          <w:tcPr>
            <w:tcW w:type="dxa" w:w="2016"/>
          </w:tcPr>
          <w:p>
            <w:r>
              <w:t>Initial target</w:t>
            </w:r>
          </w:p>
        </w:tc>
        <w:tc>
          <w:tcPr>
            <w:tcW w:type="dxa" w:w="2016"/>
          </w:tcPr>
          <w:p>
            <w:r>
              <w:t>Cache / lookup rule</w:t>
            </w:r>
          </w:p>
        </w:tc>
        <w:tc>
          <w:tcPr>
            <w:tcW w:type="dxa" w:w="2016"/>
          </w:tcPr>
          <w:p>
            <w:r>
              <w:t>Revocation consequence</w:t>
            </w:r>
          </w:p>
        </w:tc>
        <w:tc>
          <w:tcPr>
            <w:tcW w:type="dxa" w:w="2016"/>
          </w:tcPr>
          <w:p>
            <w:r>
              <w:t>Required telemetry</w:t>
            </w:r>
          </w:p>
        </w:tc>
      </w:tr>
      <w:tr>
        <w:tc>
          <w:tcPr>
            <w:tcW w:type="dxa" w:w="2016"/>
          </w:tcPr>
          <w:p>
            <w:r>
              <w:t>Security epoch / session state</w:t>
            </w:r>
          </w:p>
        </w:tc>
        <w:tc>
          <w:tcPr>
            <w:tcW w:type="dxa" w:w="2016"/>
          </w:tcPr>
          <w:p>
            <w:r>
              <w:t>Cache hit p99 &lt; 2 ms; cache miss p99 &lt; 20 ms target</w:t>
            </w:r>
          </w:p>
        </w:tc>
        <w:tc>
          <w:tcPr>
            <w:tcW w:type="dxa" w:w="2016"/>
          </w:tcPr>
          <w:p>
            <w:r>
              <w:t>Distributed/local cache keyed by user/session security state. Initial TTL 15-30 s for ordinary sessions; privileged operations may require fresher state or direct authoritative check.</w:t>
            </w:r>
          </w:p>
        </w:tc>
        <w:tc>
          <w:tcPr>
            <w:tcW w:type="dxa" w:w="2016"/>
          </w:tcPr>
          <w:p>
            <w:r>
              <w:t>Cache TTL is an upper bound on revocation visibility for cached state. The revocation SLA must therefore be &gt;= effective TTL + propagation time, or the design must use push invalidation/introspection for stricter paths.</w:t>
            </w:r>
          </w:p>
        </w:tc>
        <w:tc>
          <w:tcPr>
            <w:tcW w:type="dxa" w:w="2016"/>
          </w:tcPr>
          <w:p>
            <w:r>
              <w:t>cache hit ratio, lookup p95/p99, DB fallback rate, invalidation lag, stale-decision count, revocation propagation time</w:t>
            </w:r>
          </w:p>
        </w:tc>
      </w:tr>
    </w:tbl>
    <w:p>
      <w:r>
        <w:t>A PostgreSQL users.findById() on every authenticated request is not considered 'local JWT validation'. The performance model must measure JWT cryptographic validation separately from continuous-verification state lookup. For logout-all-devices or token_valid_after changes, the preferred evolution is event-driven/push cache invalidation plus a bounded TTL as a safety net. High-risk operations can bypass or tighten the cache when the revocation SLA requires it.</w:t>
      </w:r>
    </w:p>
    <w:p>
      <w:r>
        <w:t>Fitness-function linkage: rejectsRevokedOrPreSecurityEpochSession must be tested together with a time-bounded assertion such as revocationBecomesEffectiveWithinConfiguredSla, so correctness and propagation latency are both release-gated.</w:t>
      </w:r>
    </w:p>
    <w:p>
      <w:pPr>
        <w:pStyle w:val="Heading2"/>
      </w:pPr>
      <w:r>
        <w:t>25.3 Post-Quantum Readiness and Cryptographic Agility</w:t>
      </w:r>
    </w:p>
    <w:p>
      <w:r>
        <w:t>PQC is treated as a migration and crypto-agility concern, not as a reason to replace every production primitive immediately. The architecture must inventory public-key cryptography, isolate algorithm choices behind replaceable providers/configuration, and avoid hard-coding key types or signature algorithms into domain contracts.</w:t>
      </w:r>
    </w:p>
    <w:p>
      <w:pPr>
        <w:pStyle w:val="ListBullet"/>
      </w:pPr>
      <w:r>
        <w:t>Maintain a cryptographic inventory: TLS/mTLS certificates, JWT/JWS signing, software/artifact signing, backup encryption, KMS/HSM keys, service identities, database/client certificates and external integrations.</w:t>
      </w:r>
    </w:p>
    <w:p>
      <w:pPr>
        <w:pStyle w:val="ListBullet"/>
      </w:pPr>
      <w:r>
        <w:t>Classify data by confidentiality lifetime and identify harvest-now-decrypt-later exposure; long-lived sensitive data gets higher migration priority.</w:t>
      </w:r>
    </w:p>
    <w:p>
      <w:pPr>
        <w:pStyle w:val="ListBullet"/>
      </w:pPr>
      <w:r>
        <w:t>Design algorithm agility into JWKS/key metadata, certificate issuance, trust bundles, key rotation and verification libraries; algorithm changes must not require domain-model changes.</w:t>
      </w:r>
    </w:p>
    <w:p>
      <w:pPr>
        <w:pStyle w:val="ListBullet"/>
      </w:pPr>
      <w:r>
        <w:t>Track NIST FIPS 203 (ML-KEM), FIPS 204 (ML-DSA) and FIPS 205 (SLH-DSA) as standardized PQC building blocks; migration should follow ecosystem/protocol and provider support rather than bespoke cryptography.</w:t>
      </w:r>
    </w:p>
    <w:p>
      <w:pPr>
        <w:pStyle w:val="ListBullet"/>
      </w:pPr>
      <w:r>
        <w:t>Plan hybrid/classical-to-PQC migration experiments in a non-production interoperability track before making PQC mandatory for browser, TLS, SPIFFE or JWT paths.</w:t>
      </w:r>
    </w:p>
    <w:p>
      <w:pPr>
        <w:pStyle w:val="ListBullet"/>
      </w:pPr>
      <w:r>
        <w:t>Do not implement custom cryptographic algorithms. Use standards-conformant, maintained providers and validated modules where compliance requires them.</w:t>
      </w:r>
    </w:p>
    <w:p>
      <w:pPr>
        <w:pStyle w:val="ListBullet"/>
      </w:pPr>
      <w:r>
        <w:t>Include crypto-agility tests: key rollover, algorithm allow-list changes, old/new trust overlap, verifier compatibility, rollback and emergency algorithm disablement.</w:t>
      </w:r>
    </w:p>
    <w:p>
      <w:r>
        <w:t>Proposed future ADR (not counted against the existing ten until formally adopted):</w:t>
      </w:r>
    </w:p>
    <w:p>
      <w:r>
        <w:rPr>
          <w:b/>
        </w:rPr>
        <w:t>ADR-SEC-PQC-001 - Cryptographic Agility and Post-Quantum Migration Strategy</w:t>
      </w:r>
    </w:p>
    <w:p>
      <w:r>
        <w:t>Decision: establish a crypto inventory and algorithm-agility boundary now; adopt NIST-standard PQC algorithms through supported protocols/providers as interoperability, performance, compliance and threat requirements mature. Do not couple application authorization semantics to a specific signing/KEM algorithm.</w:t>
      </w:r>
    </w:p>
    <w:p>
      <w:pPr>
        <w:pStyle w:val="Heading2"/>
      </w:pPr>
      <w:r>
        <w:t>25.4 v1.3 Review Closure</w:t>
      </w:r>
    </w:p>
    <w:p>
      <w:pPr>
        <w:pStyle w:val="ListBullet"/>
      </w:pPr>
      <w:r>
        <w:t>Removed the empty Figure 23-1 caption and orphaned visual dependency from the document body.</w:t>
      </w:r>
    </w:p>
    <w:p>
      <w:pPr>
        <w:pStyle w:val="ListBullet"/>
      </w:pPr>
      <w:r>
        <w:t>Replaced the custom audience-validation lambda with Spring Security's RFC 9068 access-token validator builder.</w:t>
      </w:r>
    </w:p>
    <w:p>
      <w:pPr>
        <w:pStyle w:val="ListBullet"/>
      </w:pPr>
      <w:r>
        <w:t>Added an explicit security-epoch/session-state performance row and connected cache TTL to revocation SLA.</w:t>
      </w:r>
    </w:p>
    <w:p>
      <w:pPr>
        <w:pStyle w:val="ListBullet"/>
      </w:pPr>
      <w:r>
        <w:t>Clarified that the custom Java IdP is a reference implementation; a hardened managed/off-the-shelf IdP remains the normal production default unless ownership is justified.</w:t>
      </w:r>
    </w:p>
    <w:p>
      <w:pPr>
        <w:pStyle w:val="ListBullet"/>
      </w:pPr>
      <w:r>
        <w:t>Added a crypto-agility/PQC migration position and proposed ADR without expanding the five implementation WPs.</w:t>
      </w:r>
    </w:p>
    <w:p>
      <w:r>
        <w:br w:type="page"/>
      </w:r>
    </w:p>
    <w:p>
      <w:pPr>
        <w:pStyle w:val="Heading1"/>
      </w:pPr>
      <w:r>
        <w:t>26. v1.4 Review Closure</w:t>
      </w:r>
    </w:p>
    <w:p>
      <w:pPr>
        <w:pStyle w:val="ListBullet"/>
      </w:pPr>
      <w:r>
        <w:t xml:space="preserve">Restored Figure 23-1. The v1.3 edit removed the drawing element but left the empty centered paragraph and the embedded media part in place, so the document shipped a 1.7 MB image that nothing rendered. The figure is retained as the illustrative component view alongside the normative text view in Section 24.1.</w:t>
      </w:r>
    </w:p>
    <w:p>
      <w:pPr>
        <w:pStyle w:val="ListBullet"/>
      </w:pPr>
      <w:r>
        <w:t xml:space="preserve">Documented RFC 9068 at+jwt adoption in Section 25.1 as a coordinated issuer and validator change, including the required JWS typ header and client_id claim.</w:t>
      </w:r>
    </w:p>
    <w:p>
      <w:pPr>
        <w:pStyle w:val="ListBullet"/>
      </w:pPr>
      <w:r>
        <w:t xml:space="preserve">Added rejectsTokenWithWrongTypHeader and rejectsTokenMissingClientId to the shared security-test module in Section 24.6.</w:t>
      </w:r>
    </w:p>
    <w:p>
      <w:pPr>
        <w:pStyle w:val="ListBullet"/>
      </w:pPr>
      <w:r>
        <w:t xml:space="preserve">Open, not applied in v1.4: Section 25.3 does not yet reference Java 27 / JEP 527, which delivers post-quantum hybrid key exchange for TLS 1.3 and gives the TLS half of the PQC migration platform support. The target-stack line still reads Java 21/25; JEP 527 requires JDK 27 or later.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