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SIS Add-On Package (Phases A–F): Cross-Phase Dependencies, Roles, Journeys, Schema, and Scale Notes</w:t>
      </w:r>
    </w:p>
    <w:p>
      <w:r>
        <w:t>Version: 1.0 • Audience: Product, Engineering, Data, QA, Security, School/District Leadership</w:t>
      </w:r>
    </w:p>
    <w:p>
      <w:pPr>
        <w:pStyle w:val="Heading2"/>
      </w:pPr>
      <w:r>
        <w:t>1) Cross‑Phase Dependencies Map</w:t>
      </w:r>
    </w:p>
    <w:p>
      <w:r>
        <w:t>This section makes explicit how each phase depends on and feeds other phases. Use it to plan sequencing, API contracts, and QA scope.</w:t>
      </w:r>
    </w:p>
    <w:p>
      <w:r>
        <w:t>A – Core SIS Foundation (District, Schools, Users/Roles, Classes, Scheduling, Attendance, Gradebook Baseline, Specialists)</w:t>
        <w:br/>
        <w:t xml:space="preserve">  ↳ Provides canonical IDs, rosters, calendars, attendance events, baseline gradebook entities.</w:t>
        <w:br/>
        <w:br/>
        <w:t>B – Curriculum &amp; Lesson Planning</w:t>
        <w:br/>
        <w:t xml:space="preserve">  DEPENDS ON: A (classes, schedules, roles)</w:t>
        <w:br/>
        <w:t xml:space="preserve">  FEEDS: C (assessment blueprints/standards), D (weekly digests), E (coverage/pacing analytics)</w:t>
        <w:br/>
        <w:br/>
        <w:t>C – Advanced Grading, Assessment &amp; Analytics Hooks</w:t>
        <w:br/>
        <w:t xml:space="preserve">  DEPENDS ON: A (gradebook containers, attendance), B (standards &amp; lessons)</w:t>
        <w:br/>
        <w:t xml:space="preserve">  FEEDS: D (result notifications), E (item analysis, mastery), F (exports/APIs)</w:t>
        <w:br/>
        <w:br/>
        <w:t>D – Communication &amp; Engagement</w:t>
        <w:br/>
        <w:t xml:space="preserve">  DEPENDS ON: A (rosters/roles), B (lesson summaries), C (grades/assessments)</w:t>
        <w:br/>
        <w:t xml:space="preserve">  FEEDS: E (engagement metrics), F (notification connectors)</w:t>
        <w:br/>
        <w:br/>
        <w:t>E – Reporting, Analytics &amp; Insights</w:t>
        <w:br/>
        <w:t xml:space="preserve">  DEPENDS ON: A–D events and aggregates</w:t>
        <w:br/>
        <w:t xml:space="preserve">  FEEDS: A (intervention loops), D (nudges), F (warehouse/API contracts)</w:t>
        <w:br/>
        <w:br/>
        <w:t>F – Future &amp; Integrations (SSO, OneRoster/Ed‑Fi, LTI, Data Warehouse)</w:t>
        <w:br/>
        <w:t xml:space="preserve">  DEPENDS ON: A–E stable contracts</w:t>
        <w:br/>
        <w:t xml:space="preserve">  FEEDS: External partners, district data platforms; informs versioning/back‑compat strategy.</w:t>
      </w:r>
    </w:p>
    <w:p>
      <w:r>
        <w:t>Development Gate Checklist (per phase):</w:t>
      </w:r>
    </w:p>
    <w:p>
      <w:r>
        <w:t>• API contracts documented (OpenAPI/GraphQL) and versioned.</w:t>
      </w:r>
    </w:p>
    <w:p>
      <w:r>
        <w:t>• Event schema (for webhooks/CDC) published with examples.</w:t>
      </w:r>
    </w:p>
    <w:p>
      <w:r>
        <w:t>• Test data sets spanning K–5 and 6–8 (incl. specialists, pull‑outs, accommodations).</w:t>
      </w:r>
    </w:p>
    <w:p>
      <w:r>
        <w:t>• Role/permission mappings verified against the matrix in Section 2.</w:t>
      </w:r>
    </w:p>
    <w:p>
      <w:r>
        <w:t>• Backward‑compatibility and migration notes recorded.</w:t>
      </w:r>
    </w:p>
    <w:p>
      <w:pPr>
        <w:pStyle w:val="Heading2"/>
      </w:pPr>
      <w:r>
        <w:t>2) Unified Terminology &amp; Role Permissions Matrix</w:t>
      </w:r>
    </w:p>
    <w:p>
      <w:r>
        <w:t>Authoritative glossary and module‑by‑module permissions to eliminate ambiguity.</w:t>
      </w:r>
    </w:p>
    <w:p>
      <w:pPr>
        <w:pStyle w:val="Heading3"/>
      </w:pPr>
      <w:r>
        <w:t>Glossary (selected)</w:t>
      </w:r>
    </w:p>
    <w:p>
      <w:r>
        <w:rPr>
          <w:b/>
        </w:rPr>
        <w:t xml:space="preserve">District: </w:t>
      </w:r>
      <w:r>
        <w:t>Top‑level tenant containing multiple schools and shared policies.</w:t>
      </w:r>
    </w:p>
    <w:p>
      <w:r>
        <w:rPr>
          <w:b/>
        </w:rPr>
        <w:t xml:space="preserve">School: </w:t>
      </w:r>
      <w:r>
        <w:t>Organizational unit with its own calendar, bell schedules, and staff.</w:t>
      </w:r>
    </w:p>
    <w:p>
      <w:r>
        <w:rPr>
          <w:b/>
        </w:rPr>
        <w:t xml:space="preserve">Class (Section): </w:t>
      </w:r>
      <w:r>
        <w:t>Teach‑by‑period entity: teacher + roster + schedule.</w:t>
      </w:r>
    </w:p>
    <w:p>
      <w:r>
        <w:rPr>
          <w:b/>
        </w:rPr>
        <w:t xml:space="preserve">Specialist: </w:t>
      </w:r>
      <w:r>
        <w:t>Staff who deliver services via pull‑outs/push‑ins; may see multiple students simultaneously.</w:t>
      </w:r>
    </w:p>
    <w:p>
      <w:r>
        <w:rPr>
          <w:b/>
        </w:rPr>
        <w:t xml:space="preserve">Calendar Block: </w:t>
      </w:r>
      <w:r>
        <w:t>Scheduled time window tied to a class or event.</w:t>
      </w:r>
    </w:p>
    <w:p>
      <w:r>
        <w:rPr>
          <w:b/>
        </w:rPr>
        <w:t xml:space="preserve">Lesson: </w:t>
      </w:r>
      <w:r>
        <w:t>Planned instructional unit linked to standards and optionally to a calendar block.</w:t>
      </w:r>
    </w:p>
    <w:p>
      <w:r>
        <w:rPr>
          <w:b/>
        </w:rPr>
        <w:t xml:space="preserve">Assessment: </w:t>
      </w:r>
      <w:r>
        <w:t>Measurable activity (quiz/test/performance) with scoring rules and optional online delivery.</w:t>
      </w:r>
    </w:p>
    <w:p>
      <w:r>
        <w:rPr>
          <w:b/>
        </w:rPr>
        <w:t xml:space="preserve">Assignment: </w:t>
      </w:r>
      <w:r>
        <w:t>Gradebook item; may be created from a lesson or assessment.</w:t>
      </w:r>
    </w:p>
    <w:p>
      <w:r>
        <w:rPr>
          <w:b/>
        </w:rPr>
        <w:t xml:space="preserve">Intervention: </w:t>
      </w:r>
      <w:r>
        <w:t>Action plan for a student with goals, dosage, owner, and review date.</w:t>
      </w:r>
    </w:p>
    <w:p>
      <w:r>
        <w:rPr>
          <w:b/>
        </w:rPr>
        <w:t xml:space="preserve">Parent‑friendly View: </w:t>
      </w:r>
      <w:r>
        <w:t>Derived presentation excluding internal notes and accommodations.</w:t>
      </w:r>
    </w:p>
    <w:p>
      <w:pPr>
        <w:pStyle w:val="Heading3"/>
      </w:pPr>
      <w:r>
        <w:t>Role Permissions Matrix (summary)</w:t>
      </w:r>
    </w:p>
    <w:p>
      <w:r>
        <w:t>Key = V(view), C(create), E(edit), A(approve), R(report/export). More granular scopes to be defined in IAM.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Module</w:t>
            </w:r>
          </w:p>
        </w:tc>
        <w:tc>
          <w:tcPr>
            <w:tcW w:type="dxa" w:w="960"/>
          </w:tcPr>
          <w:p>
            <w:r>
              <w:t>Principal</w:t>
            </w:r>
          </w:p>
        </w:tc>
        <w:tc>
          <w:tcPr>
            <w:tcW w:type="dxa" w:w="960"/>
          </w:tcPr>
          <w:p>
            <w:r>
              <w:t>Vice Principal</w:t>
            </w:r>
          </w:p>
        </w:tc>
        <w:tc>
          <w:tcPr>
            <w:tcW w:type="dxa" w:w="960"/>
          </w:tcPr>
          <w:p>
            <w:r>
              <w:t>Dean</w:t>
            </w:r>
          </w:p>
        </w:tc>
        <w:tc>
          <w:tcPr>
            <w:tcW w:type="dxa" w:w="960"/>
          </w:tcPr>
          <w:p>
            <w:r>
              <w:t>Staff Admin</w:t>
            </w:r>
          </w:p>
        </w:tc>
        <w:tc>
          <w:tcPr>
            <w:tcW w:type="dxa" w:w="960"/>
          </w:tcPr>
          <w:p>
            <w:r>
              <w:t>Teacher</w:t>
            </w:r>
          </w:p>
        </w:tc>
        <w:tc>
          <w:tcPr>
            <w:tcW w:type="dxa" w:w="960"/>
          </w:tcPr>
          <w:p>
            <w:r>
              <w:t>Specialist</w:t>
            </w:r>
          </w:p>
        </w:tc>
        <w:tc>
          <w:tcPr>
            <w:tcW w:type="dxa" w:w="960"/>
          </w:tcPr>
          <w:p>
            <w:r>
              <w:t>Parent</w:t>
            </w:r>
          </w:p>
        </w:tc>
        <w:tc>
          <w:tcPr>
            <w:tcW w:type="dxa" w:w="960"/>
          </w:tcPr>
          <w:p>
            <w:r>
              <w:t>Student</w:t>
            </w:r>
          </w:p>
        </w:tc>
      </w:tr>
      <w:tr>
        <w:tc>
          <w:tcPr>
            <w:tcW w:type="dxa" w:w="960"/>
          </w:tcPr>
          <w:p>
            <w:r>
              <w:t>Roster &amp; Classes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 R</w:t>
            </w:r>
          </w:p>
        </w:tc>
        <w:tc>
          <w:tcPr>
            <w:tcW w:type="dxa" w:w="960"/>
          </w:tcPr>
          <w:p>
            <w:r>
              <w:t>V (own)</w:t>
            </w:r>
          </w:p>
        </w:tc>
        <w:tc>
          <w:tcPr>
            <w:tcW w:type="dxa" w:w="960"/>
          </w:tcPr>
          <w:p>
            <w:r>
              <w:t>V (assigned)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Scheduling (Blocks)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 R</w:t>
            </w:r>
          </w:p>
        </w:tc>
        <w:tc>
          <w:tcPr>
            <w:tcW w:type="dxa" w:w="960"/>
          </w:tcPr>
          <w:p>
            <w:r>
              <w:t>VCE (own)</w:t>
            </w:r>
          </w:p>
        </w:tc>
        <w:tc>
          <w:tcPr>
            <w:tcW w:type="dxa" w:w="960"/>
          </w:tcPr>
          <w:p>
            <w:r>
              <w:t>VCE (own slots)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Specialist Pull‑outs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VCEA R</w:t>
            </w:r>
          </w:p>
        </w:tc>
        <w:tc>
          <w:tcPr>
            <w:tcW w:type="dxa" w:w="960"/>
          </w:tcPr>
          <w:p>
            <w:r>
              <w:t>VCE R</w:t>
            </w:r>
          </w:p>
        </w:tc>
        <w:tc>
          <w:tcPr>
            <w:tcW w:type="dxa" w:w="960"/>
          </w:tcPr>
          <w:p>
            <w:r>
              <w:t>A (approve/deny)</w:t>
            </w:r>
          </w:p>
        </w:tc>
        <w:tc>
          <w:tcPr>
            <w:tcW w:type="dxa" w:w="960"/>
          </w:tcPr>
          <w:p>
            <w:r>
              <w:t>C E (request/edit)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Lessons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VCE (own/team)</w:t>
            </w:r>
          </w:p>
        </w:tc>
        <w:tc>
          <w:tcPr>
            <w:tcW w:type="dxa" w:w="960"/>
          </w:tcPr>
          <w:p>
            <w:r>
              <w:t>V (student‑specific notes)</w:t>
            </w:r>
          </w:p>
        </w:tc>
        <w:tc>
          <w:tcPr>
            <w:tcW w:type="dxa" w:w="960"/>
          </w:tcPr>
          <w:p>
            <w:r>
              <w:t>V (summary)</w:t>
            </w:r>
          </w:p>
        </w:tc>
        <w:tc>
          <w:tcPr>
            <w:tcW w:type="dxa" w:w="960"/>
          </w:tcPr>
          <w:p>
            <w:r>
              <w:t>V (summary)</w:t>
            </w:r>
          </w:p>
        </w:tc>
      </w:tr>
      <w:tr>
        <w:tc>
          <w:tcPr>
            <w:tcW w:type="dxa" w:w="960"/>
          </w:tcPr>
          <w:p>
            <w:r>
              <w:t>Assessments/Assignments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VCE (own)</w:t>
            </w:r>
          </w:p>
        </w:tc>
        <w:tc>
          <w:tcPr>
            <w:tcW w:type="dxa" w:w="960"/>
          </w:tcPr>
          <w:p>
            <w:r>
              <w:t>V (assigned)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Gradebook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VCE (own)</w:t>
            </w:r>
          </w:p>
        </w:tc>
        <w:tc>
          <w:tcPr>
            <w:tcW w:type="dxa" w:w="960"/>
          </w:tcPr>
          <w:p>
            <w:r>
              <w:t>V (assigned)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Attendance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R</w:t>
            </w:r>
          </w:p>
        </w:tc>
        <w:tc>
          <w:tcPr>
            <w:tcW w:type="dxa" w:w="960"/>
          </w:tcPr>
          <w:p>
            <w:r>
              <w:t>VCE (own)</w:t>
            </w:r>
          </w:p>
        </w:tc>
        <w:tc>
          <w:tcPr>
            <w:tcW w:type="dxa" w:w="960"/>
          </w:tcPr>
          <w:p>
            <w:r>
              <w:t>V (sessions)</w:t>
            </w:r>
          </w:p>
        </w:tc>
        <w:tc>
          <w:tcPr>
            <w:tcW w:type="dxa" w:w="960"/>
          </w:tcPr>
          <w:p>
            <w:r>
              <w:t>V (child)</w:t>
            </w:r>
          </w:p>
        </w:tc>
        <w:tc>
          <w:tcPr>
            <w:tcW w:type="dxa" w:w="960"/>
          </w:tcPr>
          <w:p>
            <w:r>
              <w:t>V (self)</w:t>
            </w:r>
          </w:p>
        </w:tc>
      </w:tr>
      <w:tr>
        <w:tc>
          <w:tcPr>
            <w:tcW w:type="dxa" w:w="960"/>
          </w:tcPr>
          <w:p>
            <w:r>
              <w:t>Messaging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A R</w:t>
            </w:r>
          </w:p>
        </w:tc>
        <w:tc>
          <w:tcPr>
            <w:tcW w:type="dxa" w:w="960"/>
          </w:tcPr>
          <w:p>
            <w:r>
              <w:t>VCE R</w:t>
            </w:r>
          </w:p>
        </w:tc>
        <w:tc>
          <w:tcPr>
            <w:tcW w:type="dxa" w:w="960"/>
          </w:tcPr>
          <w:p>
            <w:r>
              <w:t>VCE (classes)</w:t>
            </w:r>
          </w:p>
        </w:tc>
        <w:tc>
          <w:tcPr>
            <w:tcW w:type="dxa" w:w="960"/>
          </w:tcPr>
          <w:p>
            <w:r>
              <w:t>VCE (caseload)</w:t>
            </w:r>
          </w:p>
        </w:tc>
        <w:tc>
          <w:tcPr>
            <w:tcW w:type="dxa" w:w="960"/>
          </w:tcPr>
          <w:p>
            <w:r>
              <w:t>VCE (child threads)</w:t>
            </w:r>
          </w:p>
        </w:tc>
        <w:tc>
          <w:tcPr>
            <w:tcW w:type="dxa" w:w="960"/>
          </w:tcPr>
          <w:p>
            <w:r>
              <w:t>V (own)</w:t>
            </w:r>
          </w:p>
        </w:tc>
      </w:tr>
      <w:tr>
        <w:tc>
          <w:tcPr>
            <w:tcW w:type="dxa" w:w="960"/>
          </w:tcPr>
          <w:p>
            <w:r>
              <w:t>Analytics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R</w:t>
            </w:r>
          </w:p>
        </w:tc>
        <w:tc>
          <w:tcPr>
            <w:tcW w:type="dxa" w:w="960"/>
          </w:tcPr>
          <w:p>
            <w:r>
              <w:t>V (class)</w:t>
            </w:r>
          </w:p>
        </w:tc>
        <w:tc>
          <w:tcPr>
            <w:tcW w:type="dxa" w:w="960"/>
          </w:tcPr>
          <w:p>
            <w:r>
              <w:t>V (caseload)</w:t>
            </w:r>
          </w:p>
        </w:tc>
        <w:tc>
          <w:tcPr>
            <w:tcW w:type="dxa" w:w="960"/>
          </w:tcPr>
          <w:p>
            <w:r>
              <w:t>V (child summary)</w:t>
            </w:r>
          </w:p>
        </w:tc>
        <w:tc>
          <w:tcPr>
            <w:tcW w:type="dxa" w:w="960"/>
          </w:tcPr>
          <w:p>
            <w:r>
              <w:t>V (self summary)</w:t>
            </w:r>
          </w:p>
        </w:tc>
      </w:tr>
    </w:tbl>
    <w:p>
      <w:r>
        <w:t>Note: Staff Admin inherits Principal capabilities minus access to highly sensitive fields (discipline/IEP full text) unless explicitly granted.</w:t>
      </w:r>
    </w:p>
    <w:p>
      <w:pPr>
        <w:pStyle w:val="Heading2"/>
      </w:pPr>
      <w:r>
        <w:t>3) End‑to‑End User Journeys (Representative)</w:t>
      </w:r>
    </w:p>
    <w:p>
      <w:r>
        <w:rPr>
          <w:b/>
        </w:rPr>
        <w:t xml:space="preserve">Admin – Start‑of‑Year Setup: </w:t>
      </w:r>
      <w:r>
        <w:t>Create district and schools (A) → Import rosters via OneRoster (F) → Define bell schedules and calendars (A) → Publish curriculum maps and templates (B) → Configure category weights and grading periods (A/C) → Enable communication policies and digests (D) → Validate analytics dashboards (E).</w:t>
      </w:r>
    </w:p>
    <w:p>
      <w:r>
        <w:rPr>
          <w:b/>
        </w:rPr>
        <w:t xml:space="preserve">Teacher – Weekly Plan &amp; Teach: </w:t>
      </w:r>
      <w:r>
        <w:t>Open planner (B) → Drag lessons onto calendar (A) → Auto‑create linked assignments (A/C) → Specialist requests arrive; approve or propose alternative (A) → Teach; take attendance from block (A) → Post grades; auto‑notify parents (D) → View class mastery heatmap (E).</w:t>
      </w:r>
    </w:p>
    <w:p>
      <w:r>
        <w:rPr>
          <w:b/>
        </w:rPr>
        <w:t xml:space="preserve">Specialist – Manage Pull‑outs: </w:t>
      </w:r>
      <w:r>
        <w:t>Propose sessions (A) → Teacher approves/denies with reason and alternate suggestion (A/D) → Conduct sessions; mark attendance (A) → Add notes tied to lesson/goal (B) → Review caseload impact report (E).</w:t>
      </w:r>
    </w:p>
    <w:p>
      <w:r>
        <w:rPr>
          <w:b/>
        </w:rPr>
        <w:t xml:space="preserve">Parent – Stay Informed: </w:t>
      </w:r>
      <w:r>
        <w:t>Get weekly digest (D) → See upcoming lessons and assessments (B/C) → Receive alerts for missing work or grade drops (D/E) → Message teacher (D) → Track progress trends in portal (E).</w:t>
      </w:r>
    </w:p>
    <w:p>
      <w:r>
        <w:rPr>
          <w:b/>
        </w:rPr>
        <w:t xml:space="preserve">Student – Own Their Learning: </w:t>
      </w:r>
      <w:r>
        <w:t>See schedule (A) → Review lesson summaries and resources (B) → Complete online assessments (C) → Check feedback and grades (C) → Receive nudges about missing work (D) → View progress dashboard (E).</w:t>
      </w:r>
    </w:p>
    <w:p>
      <w:pPr>
        <w:pStyle w:val="Heading2"/>
      </w:pPr>
      <w:r>
        <w:t>4) Master Data Schema Overview (A–F)</w:t>
      </w:r>
    </w:p>
    <w:p>
      <w:r>
        <w:t>High‑level ERD summary and table inventory across phases.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Domain</w:t>
            </w:r>
          </w:p>
        </w:tc>
        <w:tc>
          <w:tcPr>
            <w:tcW w:type="dxa" w:w="4320"/>
          </w:tcPr>
          <w:p>
            <w:r>
              <w:t>Key Entities (IDs, Relationships)</w:t>
            </w:r>
          </w:p>
        </w:tc>
      </w:tr>
      <w:tr>
        <w:tc>
          <w:tcPr>
            <w:tcW w:type="dxa" w:w="4320"/>
          </w:tcPr>
          <w:p>
            <w:r>
              <w:t>Core SIS (A)</w:t>
            </w:r>
          </w:p>
        </w:tc>
        <w:tc>
          <w:tcPr>
            <w:tcW w:type="dxa" w:w="4320"/>
          </w:tcPr>
          <w:p>
            <w:r>
              <w:t>district(id)→schools(id); users(id, role); classes(id, school_id, teacher_id); enrollments(student_id, class_id); calendar_blocks(id, class_id, start, end); attendance(id, student_id, date, status); gradebook_categories(id, class_id, weight); assignments(id, class_id, category_id, points, weight); grades(id, assignment_id, student_id, score, status)</w:t>
            </w:r>
          </w:p>
        </w:tc>
      </w:tr>
      <w:tr>
        <w:tc>
          <w:tcPr>
            <w:tcW w:type="dxa" w:w="4320"/>
          </w:tcPr>
          <w:p>
            <w:r>
              <w:t>Curriculum (B)</w:t>
            </w:r>
          </w:p>
        </w:tc>
        <w:tc>
          <w:tcPr>
            <w:tcW w:type="dxa" w:w="4320"/>
          </w:tcPr>
          <w:p>
            <w:r>
              <w:t>curriculum_maps(id, school_id, subject, grade_level); unit_plans(id, map_id?); lesson_plans(id, class_id, date); lesson_schedule_links(lesson_id, calendar_block_id); lesson_assignment_links(lesson_id, assignment_id); standards(id, code)</w:t>
            </w:r>
          </w:p>
        </w:tc>
      </w:tr>
      <w:tr>
        <w:tc>
          <w:tcPr>
            <w:tcW w:type="dxa" w:w="4320"/>
          </w:tcPr>
          <w:p>
            <w:r>
              <w:t>Assessments (C)</w:t>
            </w:r>
          </w:p>
        </w:tc>
        <w:tc>
          <w:tcPr>
            <w:tcW w:type="dxa" w:w="4320"/>
          </w:tcPr>
          <w:p>
            <w:r>
              <w:t>assessments(id, class_id, blueprint, delivery_mode); items(id, assessment_id? bank_ref); attempts(id, assessment_id, student_id); responses(id, attempt_id, item_ref, score); scoresheets(id, attempt_id, total_score); retake_policies(assessment_id, rule)</w:t>
            </w:r>
          </w:p>
        </w:tc>
      </w:tr>
      <w:tr>
        <w:tc>
          <w:tcPr>
            <w:tcW w:type="dxa" w:w="4320"/>
          </w:tcPr>
          <w:p>
            <w:r>
              <w:t>Communication (D)</w:t>
            </w:r>
          </w:p>
        </w:tc>
        <w:tc>
          <w:tcPr>
            <w:tcW w:type="dxa" w:w="4320"/>
          </w:tcPr>
          <w:p>
            <w:r>
              <w:t>threads(id); messages(id, thread_id, sender_id, recipients[]); deliveries(id, message_id, channel, status, timestamps); digests(id, audience, schedule)</w:t>
            </w:r>
          </w:p>
        </w:tc>
      </w:tr>
      <w:tr>
        <w:tc>
          <w:tcPr>
            <w:tcW w:type="dxa" w:w="4320"/>
          </w:tcPr>
          <w:p>
            <w:r>
              <w:t>Analytics (E)</w:t>
            </w:r>
          </w:p>
        </w:tc>
        <w:tc>
          <w:tcPr>
            <w:tcW w:type="dxa" w:w="4320"/>
          </w:tcPr>
          <w:p>
            <w:r>
              <w:t>fact_grades, fact_assessments, fact_attendance, fact_schedule, fact_pullouts, fact_communications, fact_interventions; dim_student, dim_teacher, dim_class, dim_school, dim_subject, dim_standard, dim_calendar</w:t>
            </w:r>
          </w:p>
        </w:tc>
      </w:tr>
      <w:tr>
        <w:tc>
          <w:tcPr>
            <w:tcW w:type="dxa" w:w="4320"/>
          </w:tcPr>
          <w:p>
            <w:r>
              <w:t>Integrations (F)</w:t>
            </w:r>
          </w:p>
        </w:tc>
        <w:tc>
          <w:tcPr>
            <w:tcW w:type="dxa" w:w="4320"/>
          </w:tcPr>
          <w:p>
            <w:r>
              <w:t>external_connections(id, type, creds_ref); mappings(id, external, internal, transform); webhooks(id, topic, target_url); exports(id, job, format, location); imports(id, source, status, diagnostics)</w:t>
            </w:r>
          </w:p>
        </w:tc>
      </w:tr>
    </w:tbl>
    <w:p>
      <w:r>
        <w:t>ERD Notes: All domains use stable UUIDs; cross‑domain links via foreign keys; audit tables capture create/update with actor and reason; soft‑delete for recoverability where appropriate.</w:t>
      </w:r>
    </w:p>
    <w:p>
      <w:pPr>
        <w:pStyle w:val="Heading2"/>
      </w:pPr>
      <w:r>
        <w:t>5) Scalability, Integration &amp; Compliance Notes</w:t>
      </w:r>
    </w:p>
    <w:p>
      <w:r>
        <w:t>• Partitioning &amp; Indexing: time‑based partitions for facts; composite indexes (student_id, class_id, date) for hot paths.</w:t>
      </w:r>
    </w:p>
    <w:p>
      <w:r>
        <w:t>• Caching: teacher dashboard and class roster caches with TTL; pre‑compute nightly aggregates for E dashboards.</w:t>
      </w:r>
    </w:p>
    <w:p>
      <w:r>
        <w:t>• Event Bus: use domain events for D/E/F; ensure idempotency keys for imports/grade pushes.</w:t>
      </w:r>
    </w:p>
    <w:p>
      <w:r>
        <w:t>• API Versioning: semantic versions with ≥12‑month deprecation windows; compatibility tests per connector.</w:t>
      </w:r>
    </w:p>
    <w:p>
      <w:r>
        <w:t>• Observability: tenant‑scoped metrics; SLOs for API p95 and webhook delivery; anomaly alerts on sync drifts.</w:t>
      </w:r>
    </w:p>
    <w:p>
      <w:r>
        <w:t>• Security: RBAC with row/column‑level policies; encrypted PII; consent preferences respected in all channels.</w:t>
      </w:r>
    </w:p>
    <w:p>
      <w:r>
        <w:t>• Accessibility &amp; i18n: WCAG 2.1 AA across portals; multilingual templates for D digests and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