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5489" w14:textId="77777777" w:rsidR="00D23CC1" w:rsidRPr="00C23FDF" w:rsidRDefault="00D23CC1">
      <w:pPr>
        <w:pStyle w:val="Title"/>
        <w:spacing w:after="0"/>
        <w:rPr>
          <w:rFonts w:ascii="Tw Cen MT" w:eastAsia="Twentieth Century" w:hAnsi="Tw Cen MT" w:cs="Twentieth Century"/>
          <w:b/>
          <w:bCs/>
          <w:sz w:val="20"/>
          <w:szCs w:val="20"/>
        </w:rPr>
      </w:pPr>
    </w:p>
    <w:p w14:paraId="42DFDAC2" w14:textId="77777777" w:rsidR="0074428B" w:rsidRPr="00C23FDF" w:rsidRDefault="0074428B" w:rsidP="0074428B">
      <w:pPr>
        <w:spacing w:after="200"/>
        <w:rPr>
          <w:rFonts w:ascii="Tw Cen MT" w:hAnsi="Tw Cen MT"/>
          <w:sz w:val="44"/>
          <w:szCs w:val="44"/>
        </w:rPr>
      </w:pPr>
      <w:r w:rsidRPr="00C23FDF">
        <w:rPr>
          <w:rFonts w:ascii="Tw Cen MT" w:eastAsia="Tw Cent MT" w:hAnsi="Tw Cen MT" w:cs="Tw Cent MT"/>
          <w:b/>
          <w:sz w:val="44"/>
          <w:szCs w:val="44"/>
        </w:rPr>
        <w:t>Perbandingan Akurasi ChatGPT Menggunakan Chain-of-Thought dan Non-Chain-of-Thought pada IndoMMLU</w:t>
      </w:r>
    </w:p>
    <w:p w14:paraId="17A4DA70" w14:textId="72CE5804" w:rsidR="00D23CC1" w:rsidRPr="00C23FDF" w:rsidRDefault="006659BD">
      <w:pPr>
        <w:spacing w:before="283" w:after="240"/>
        <w:rPr>
          <w:rFonts w:ascii="Tw Cen MT" w:eastAsia="Twentieth Century" w:hAnsi="Tw Cen MT" w:cs="Twentieth Century"/>
        </w:rPr>
      </w:pPr>
      <w:r w:rsidRPr="00C23FDF">
        <w:rPr>
          <w:rFonts w:ascii="Tw Cen MT" w:eastAsia="Tw Cent MT" w:hAnsi="Tw Cen MT" w:cs="Tw Cent MT"/>
        </w:rPr>
        <w:t>Elvira Gladys Samsul</w:t>
      </w:r>
      <w:r w:rsidRPr="00C23FDF">
        <w:rPr>
          <w:rFonts w:ascii="Tw Cen MT" w:eastAsia="Twentieth Century" w:hAnsi="Tw Cen MT" w:cs="Twentieth Century"/>
          <w:vertAlign w:val="superscript"/>
        </w:rPr>
        <w:t>1</w:t>
      </w:r>
      <w:r w:rsidRPr="00C23FDF">
        <w:rPr>
          <w:rFonts w:ascii="Tw Cen MT" w:eastAsia="Twentieth Century" w:hAnsi="Tw Cen MT" w:cs="Twentieth Century"/>
        </w:rPr>
        <w:t xml:space="preserve">, </w:t>
      </w:r>
      <w:r w:rsidRPr="00C23FDF">
        <w:rPr>
          <w:rFonts w:ascii="Tw Cen MT" w:eastAsia="Tw Cent MT" w:hAnsi="Tw Cen MT" w:cs="Tw Cent MT"/>
        </w:rPr>
        <w:t>Muhammad Arhami</w:t>
      </w:r>
      <w:r w:rsidRPr="00C23FDF">
        <w:rPr>
          <w:rFonts w:ascii="Tw Cen MT" w:eastAsia="Tw Cent MT" w:hAnsi="Tw Cen MT" w:cs="Tw Cent MT"/>
          <w:vertAlign w:val="superscript"/>
        </w:rPr>
        <w:t>2</w:t>
      </w:r>
      <w:r w:rsidRPr="00C23FDF">
        <w:rPr>
          <w:rFonts w:ascii="Tw Cen MT" w:eastAsia="Twentieth Century" w:hAnsi="Tw Cen MT" w:cs="Twentieth Century"/>
          <w:vertAlign w:val="superscript"/>
        </w:rPr>
        <w:t>*</w:t>
      </w:r>
      <w:r w:rsidRPr="00C23FDF">
        <w:rPr>
          <w:rFonts w:ascii="Tw Cen MT" w:eastAsia="Twentieth Century" w:hAnsi="Tw Cen MT" w:cs="Twentieth Century"/>
        </w:rPr>
        <w:t xml:space="preserve">, </w:t>
      </w:r>
      <w:r w:rsidRPr="00C23FDF">
        <w:rPr>
          <w:rFonts w:ascii="Tw Cen MT" w:eastAsia="Tw Cent MT" w:hAnsi="Tw Cen MT" w:cs="Tw Cent MT"/>
        </w:rPr>
        <w:t>Muhammad Rizka</w:t>
      </w:r>
      <w:r w:rsidRPr="00C23FDF">
        <w:rPr>
          <w:rFonts w:ascii="Tw Cen MT" w:eastAsia="Tw Cent MT" w:hAnsi="Tw Cen MT" w:cs="Tw Cent MT"/>
          <w:vertAlign w:val="superscript"/>
        </w:rPr>
        <w:t>3</w:t>
      </w:r>
    </w:p>
    <w:p w14:paraId="0923C049" w14:textId="3A961E37" w:rsidR="00D23CC1" w:rsidRPr="00C23FDF" w:rsidRDefault="00000000" w:rsidP="006659BD">
      <w:pPr>
        <w:rPr>
          <w:rFonts w:ascii="Tw Cen MT" w:eastAsia="Palatino Linotype" w:hAnsi="Tw Cen MT" w:cs="Palatino Linotype"/>
          <w:b/>
          <w:bCs/>
          <w:sz w:val="20"/>
          <w:szCs w:val="20"/>
        </w:rPr>
      </w:pPr>
      <w:r w:rsidRPr="00C23FDF">
        <w:rPr>
          <w:rFonts w:ascii="Tw Cen MT" w:eastAsia="Twentieth Century" w:hAnsi="Tw Cen MT" w:cs="Twentieth Century"/>
          <w:sz w:val="18"/>
          <w:szCs w:val="18"/>
          <w:vertAlign w:val="superscript"/>
        </w:rPr>
        <w:t>1,2</w:t>
      </w:r>
      <w:r w:rsidR="006659BD" w:rsidRPr="00C23FDF">
        <w:rPr>
          <w:rFonts w:ascii="Tw Cen MT" w:eastAsia="Twentieth Century" w:hAnsi="Tw Cen MT" w:cs="Twentieth Century"/>
          <w:sz w:val="18"/>
          <w:szCs w:val="18"/>
          <w:vertAlign w:val="superscript"/>
        </w:rPr>
        <w:t>,3</w:t>
      </w:r>
      <w:r w:rsidRPr="00C23FDF">
        <w:rPr>
          <w:rFonts w:ascii="Tw Cen MT" w:eastAsia="Twentieth Century" w:hAnsi="Tw Cen MT" w:cs="Twentieth Century"/>
          <w:sz w:val="18"/>
          <w:szCs w:val="18"/>
          <w:vertAlign w:val="superscript"/>
        </w:rPr>
        <w:t xml:space="preserve"> </w:t>
      </w:r>
      <w:r w:rsidR="006659BD" w:rsidRPr="00C23FDF">
        <w:rPr>
          <w:rFonts w:ascii="Tw Cen MT" w:eastAsia="Twentieth Century" w:hAnsi="Tw Cen MT" w:cs="Twentieth Century"/>
          <w:sz w:val="18"/>
          <w:szCs w:val="18"/>
        </w:rPr>
        <w:t>Jurusan Teknologi Informasi dan Komputer, Politeknik Negeri Lhokseumawe, Indonesia</w:t>
      </w:r>
    </w:p>
    <w:p w14:paraId="5186509F" w14:textId="77777777" w:rsidR="00F16A5E" w:rsidRPr="00C23FDF" w:rsidRDefault="00F16A5E">
      <w:pPr>
        <w:rPr>
          <w:rFonts w:ascii="Tw Cen MT" w:eastAsia="Twentieth Century" w:hAnsi="Tw Cen MT" w:cs="Twentieth Century"/>
          <w:sz w:val="18"/>
          <w:szCs w:val="18"/>
        </w:rPr>
      </w:pPr>
    </w:p>
    <w:p w14:paraId="3B9472AF" w14:textId="18D261E7" w:rsidR="00D23CC1" w:rsidRPr="00C23FDF" w:rsidRDefault="00000000">
      <w:pPr>
        <w:rPr>
          <w:rFonts w:ascii="Tw Cen MT" w:eastAsia="Twentieth Century" w:hAnsi="Tw Cen MT" w:cs="Twentieth Century"/>
          <w:b/>
          <w:bCs/>
          <w:sz w:val="18"/>
          <w:szCs w:val="18"/>
        </w:rPr>
      </w:pPr>
      <w:r w:rsidRPr="00C23FDF">
        <w:rPr>
          <w:rFonts w:ascii="Tw Cen MT" w:eastAsia="Twentieth Century" w:hAnsi="Tw Cen MT" w:cs="Twentieth Century"/>
          <w:sz w:val="18"/>
          <w:szCs w:val="18"/>
        </w:rPr>
        <w:t>*Penulis Korespondensi:</w:t>
      </w:r>
      <w:r w:rsidR="0003166C">
        <w:rPr>
          <w:rFonts w:ascii="Tw Cen MT" w:eastAsia="Twentieth Century" w:hAnsi="Tw Cen MT" w:cs="Twentieth Century"/>
          <w:b/>
          <w:bCs/>
          <w:sz w:val="18"/>
          <w:szCs w:val="18"/>
        </w:rPr>
        <w:t xml:space="preserve"> </w:t>
      </w:r>
      <w:r w:rsidR="0063710B">
        <w:rPr>
          <w:rFonts w:ascii="Tw Cen MT" w:eastAsia="Twentieth Century" w:hAnsi="Tw Cen MT" w:cs="Twentieth Century"/>
          <w:sz w:val="18"/>
          <w:szCs w:val="18"/>
        </w:rPr>
        <w:t>mhselvira</w:t>
      </w:r>
      <w:r w:rsidR="00C23FDF" w:rsidRPr="00C23FDF">
        <w:rPr>
          <w:rFonts w:ascii="Tw Cen MT" w:eastAsia="Twentieth Century" w:hAnsi="Tw Cen MT" w:cs="Twentieth Century"/>
          <w:sz w:val="18"/>
          <w:szCs w:val="18"/>
        </w:rPr>
        <w:t>@</w:t>
      </w:r>
      <w:r w:rsidR="0063710B">
        <w:rPr>
          <w:rFonts w:ascii="Tw Cen MT" w:eastAsia="Twentieth Century" w:hAnsi="Tw Cen MT" w:cs="Twentieth Century"/>
          <w:sz w:val="18"/>
          <w:szCs w:val="18"/>
        </w:rPr>
        <w:t>gmail.com</w:t>
      </w:r>
    </w:p>
    <w:p w14:paraId="490065F6" w14:textId="77777777" w:rsidR="00D23CC1" w:rsidRPr="00C23FDF" w:rsidRDefault="00000000">
      <w:pPr>
        <w:tabs>
          <w:tab w:val="left" w:pos="5745"/>
        </w:tabs>
        <w:rPr>
          <w:rFonts w:ascii="Tw Cen MT" w:eastAsia="Twentieth Century" w:hAnsi="Tw Cen MT" w:cs="Twentieth Century"/>
          <w:b/>
          <w:bCs/>
          <w:sz w:val="18"/>
          <w:szCs w:val="18"/>
        </w:rPr>
      </w:pPr>
      <w:r w:rsidRPr="00C23FDF">
        <w:rPr>
          <w:rFonts w:ascii="Tw Cen MT" w:eastAsia="Twentieth Century" w:hAnsi="Tw Cen MT" w:cs="Twentieth Century"/>
          <w:b/>
          <w:bCs/>
          <w:sz w:val="18"/>
          <w:szCs w:val="18"/>
        </w:rPr>
        <w:tab/>
      </w:r>
    </w:p>
    <w:p w14:paraId="2F5465A9" w14:textId="77777777" w:rsidR="00D23CC1" w:rsidRPr="00C23FDF" w:rsidRDefault="00000000">
      <w:pPr>
        <w:spacing w:before="120" w:after="120"/>
        <w:rPr>
          <w:rFonts w:ascii="Tw Cen MT" w:eastAsia="Twentieth Century" w:hAnsi="Tw Cen MT" w:cs="Twentieth Century"/>
          <w:color w:val="000000"/>
          <w:sz w:val="16"/>
          <w:szCs w:val="16"/>
        </w:rPr>
      </w:pPr>
      <w:r w:rsidRPr="00C23FDF">
        <w:rPr>
          <w:rFonts w:ascii="Tw Cen MT" w:eastAsia="Twentieth Century" w:hAnsi="Tw Cen MT" w:cs="Twentieth Century"/>
          <w:color w:val="000000"/>
          <w:sz w:val="16"/>
          <w:szCs w:val="16"/>
        </w:rPr>
        <w:t xml:space="preserve">This is an open access article under the </w:t>
      </w:r>
      <w:hyperlink r:id="rId7">
        <w:r w:rsidR="00D23CC1" w:rsidRPr="00C23FDF">
          <w:rPr>
            <w:rFonts w:ascii="Tw Cen MT" w:eastAsia="Twentieth Century" w:hAnsi="Tw Cen MT" w:cs="Twentieth Century"/>
            <w:color w:val="2F5496"/>
            <w:sz w:val="16"/>
            <w:szCs w:val="16"/>
            <w:u w:val="single"/>
          </w:rPr>
          <w:t>CC BY-SA</w:t>
        </w:r>
      </w:hyperlink>
      <w:r w:rsidRPr="00C23FDF">
        <w:rPr>
          <w:rFonts w:ascii="Tw Cen MT" w:eastAsia="Twentieth Century" w:hAnsi="Tw Cen MT" w:cs="Twentieth Century"/>
          <w:color w:val="000000"/>
          <w:sz w:val="16"/>
          <w:szCs w:val="16"/>
        </w:rPr>
        <w:t xml:space="preserve"> license. </w:t>
      </w:r>
    </w:p>
    <w:p w14:paraId="53CCCF52" w14:textId="77777777" w:rsidR="00D23CC1" w:rsidRPr="00C23FDF" w:rsidRDefault="00000000">
      <w:pPr>
        <w:pBdr>
          <w:top w:val="nil"/>
          <w:left w:val="nil"/>
          <w:bottom w:val="nil"/>
          <w:right w:val="nil"/>
          <w:between w:val="nil"/>
        </w:pBdr>
        <w:spacing w:before="133"/>
        <w:rPr>
          <w:rFonts w:ascii="Tw Cen MT" w:hAnsi="Tw Cen MT"/>
          <w:color w:val="000000"/>
          <w:sz w:val="20"/>
          <w:szCs w:val="20"/>
        </w:rPr>
      </w:pPr>
      <w:r w:rsidRPr="00C23FDF">
        <w:rPr>
          <w:rFonts w:ascii="Tw Cen MT" w:hAnsi="Tw Cen MT"/>
          <w:noProof/>
          <w:color w:val="000000"/>
          <w:sz w:val="20"/>
          <w:szCs w:val="20"/>
        </w:rPr>
        <w:drawing>
          <wp:inline distT="0" distB="0" distL="0" distR="0" wp14:anchorId="634CCF32" wp14:editId="14B59FC3">
            <wp:extent cx="679256" cy="23865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79256" cy="238658"/>
                    </a:xfrm>
                    <a:prstGeom prst="rect">
                      <a:avLst/>
                    </a:prstGeom>
                    <a:ln/>
                  </pic:spPr>
                </pic:pic>
              </a:graphicData>
            </a:graphic>
          </wp:inline>
        </w:drawing>
      </w:r>
    </w:p>
    <w:p w14:paraId="733A6F34" w14:textId="77777777" w:rsidR="00D23CC1" w:rsidRPr="00C23FDF" w:rsidRDefault="00000000">
      <w:pPr>
        <w:spacing w:after="120"/>
        <w:jc w:val="both"/>
        <w:rPr>
          <w:rFonts w:ascii="Tw Cen MT" w:eastAsia="Palatino Linotype" w:hAnsi="Tw Cen MT" w:cs="Palatino Linotype"/>
          <w:b/>
          <w:bCs/>
          <w:color w:val="4472C4"/>
        </w:rPr>
      </w:pPr>
      <w:r w:rsidRPr="00C23FDF">
        <w:rPr>
          <w:rFonts w:ascii="Tw Cen MT" w:hAnsi="Tw Cen MT"/>
          <w:noProof/>
        </w:rPr>
        <mc:AlternateContent>
          <mc:Choice Requires="wpg">
            <w:drawing>
              <wp:anchor distT="0" distB="0" distL="114300" distR="114300" simplePos="0" relativeHeight="251658240" behindDoc="0" locked="0" layoutInCell="1" hidden="0" allowOverlap="1" wp14:anchorId="16BEB337" wp14:editId="2CEE0160">
                <wp:simplePos x="0" y="0"/>
                <wp:positionH relativeFrom="column">
                  <wp:posOffset>-5079</wp:posOffset>
                </wp:positionH>
                <wp:positionV relativeFrom="paragraph">
                  <wp:posOffset>125095</wp:posOffset>
                </wp:positionV>
                <wp:extent cx="5760000" cy="25400"/>
                <wp:effectExtent l="0" t="0" r="0" b="0"/>
                <wp:wrapNone/>
                <wp:docPr id="2" name="Straight Arrow Connector 2"/>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25400" cap="flat" cmpd="thinThick">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-5079</wp:posOffset>
                </wp:positionH>
                <wp:positionV relativeFrom="paragraph">
                  <wp:posOffset>125095</wp:posOffset>
                </wp:positionV>
                <wp:extent cx="5760000" cy="25400"/>
                <wp:effectExtent b="0" l="0" r="0" t="0"/>
                <wp:wrapNone/>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760000" cy="25400"/>
                        </a:xfrm>
                        <a:prstGeom prst="rect"/>
                        <a:ln/>
                      </pic:spPr>
                    </pic:pic>
                  </a:graphicData>
                </a:graphic>
              </wp:anchor>
            </w:drawing>
          </mc:Fallback>
        </mc:AlternateContent>
      </w:r>
    </w:p>
    <w:p w14:paraId="23C905BE" w14:textId="416426DB" w:rsidR="00D23CC1" w:rsidRPr="00C23FDF" w:rsidRDefault="00000000">
      <w:pPr>
        <w:spacing w:before="120" w:after="120"/>
        <w:jc w:val="both"/>
        <w:rPr>
          <w:rFonts w:ascii="Tw Cen MT" w:eastAsia="Twentieth Century" w:hAnsi="Tw Cen MT" w:cs="Twentieth Century"/>
          <w:b/>
          <w:bCs/>
          <w:sz w:val="28"/>
          <w:szCs w:val="28"/>
        </w:rPr>
      </w:pPr>
      <w:r w:rsidRPr="00C23FDF">
        <w:rPr>
          <w:rFonts w:ascii="Tw Cen MT" w:eastAsia="Twentieth Century" w:hAnsi="Tw Cen MT" w:cs="Twentieth Century"/>
          <w:b/>
          <w:bCs/>
          <w:sz w:val="28"/>
          <w:szCs w:val="28"/>
        </w:rPr>
        <w:t xml:space="preserve">Abstrak </w:t>
      </w:r>
    </w:p>
    <w:p w14:paraId="71EE1A92" w14:textId="2D77AA94" w:rsidR="00D23CC1" w:rsidRPr="00C23FDF" w:rsidRDefault="0003166C">
      <w:pPr>
        <w:pBdr>
          <w:top w:val="nil"/>
          <w:left w:val="nil"/>
          <w:bottom w:val="nil"/>
          <w:right w:val="nil"/>
          <w:between w:val="nil"/>
        </w:pBdr>
        <w:spacing w:before="133" w:after="240"/>
        <w:ind w:right="48"/>
        <w:jc w:val="both"/>
        <w:rPr>
          <w:rFonts w:ascii="Tw Cen MT" w:eastAsia="Twentieth Century" w:hAnsi="Tw Cen MT" w:cs="Twentieth Century"/>
          <w:color w:val="000000"/>
          <w:sz w:val="20"/>
          <w:szCs w:val="20"/>
        </w:rPr>
      </w:pPr>
      <w:r w:rsidRPr="00310A22">
        <w:rPr>
          <w:rFonts w:ascii="Twentieth Century" w:eastAsia="Tw Cent MT" w:hAnsi="Twentieth Century" w:cs="Tw Cent MT"/>
          <w:sz w:val="20"/>
        </w:rPr>
        <w:t>Perkembangan Large Language Model (LLM) seperti ChatGPT meningkatkan kemampuan pemahaman bahasa alami, namun kemampuannya dalam konteks bahasa dan budaya lokal Indonesia masih perlu dievaluasi karena sebagian besar pengujian dilakukan menggunakan dataset berbahasa Inggris. Penelitian ini mengukur akurasi jawaban GPT-4o mini pada soal Multiple Choice Question (MCQ) dataset IndoMMLU domain bahasa menggunakan algoritma Levenshtein Distance, serta membandingkan efektivitas metode Chain-of-Thought (CoT) dan Non-Chain-of-Thought (Non-CoT). Pengujian dilakukan melalui empat skenario terhadap sembilan domain bahasa daerah dengan total hingga 900 soal, mengukur nilai similarity, akurasi exact match, penggunaan token, dan waktu respons. Hasil menunjukkan pengujian per domain menghasilkan similarity rata-rata 65,42% (CoT) dan 63,81% (Non-CoT), dengan 483 dan 454 jawaban benar dari 900 soal. Pada pengujian gabungan skala besar, Non-CoT justru lebih stabil dengan similarity tertinggi 70,18% dibanding CoT 69,37%. Bahasa Indonesia mencapai similarity tertinggi (95,92%), sedangkan bahasa daerah lain berkisar 55,49%-77,23%. CoT membutuhkan token sekitar 5,2 kali lebih besar dan waktu respons empat hingga enam kali lebih lama dibanding Non-CoT. Temuan ini menunjukkan bahwa efektivitas Chain-of-Thought tidak konsisten meningkatkan kualitas jawaban GPT-4o mini, melainkan bergantung pada karakteristik domain bahasa dan skala pengujian</w:t>
      </w:r>
      <w:r>
        <w:rPr>
          <w:rFonts w:ascii="Twentieth Century" w:eastAsia="Tw Cent MT" w:hAnsi="Twentieth Century" w:cs="Tw Cent MT"/>
          <w:sz w:val="20"/>
        </w:rPr>
        <w:t>.</w:t>
      </w:r>
    </w:p>
    <w:p w14:paraId="567E36FE" w14:textId="227D1975" w:rsidR="00D23CC1" w:rsidRPr="00C23FDF" w:rsidRDefault="00000000">
      <w:pPr>
        <w:pBdr>
          <w:top w:val="nil"/>
          <w:left w:val="nil"/>
          <w:bottom w:val="nil"/>
          <w:right w:val="nil"/>
          <w:between w:val="nil"/>
        </w:pBdr>
        <w:spacing w:before="133"/>
        <w:jc w:val="both"/>
        <w:rPr>
          <w:rFonts w:ascii="Tw Cen MT" w:eastAsia="Twentieth Century" w:hAnsi="Tw Cen MT" w:cs="Twentieth Century"/>
          <w:color w:val="000000"/>
          <w:sz w:val="20"/>
          <w:szCs w:val="20"/>
        </w:rPr>
      </w:pPr>
      <w:r w:rsidRPr="00C23FDF">
        <w:rPr>
          <w:rFonts w:ascii="Tw Cen MT" w:eastAsia="Twentieth Century" w:hAnsi="Tw Cen MT" w:cs="Twentieth Century"/>
          <w:b/>
          <w:bCs/>
          <w:color w:val="000000"/>
          <w:sz w:val="20"/>
          <w:szCs w:val="20"/>
        </w:rPr>
        <w:t xml:space="preserve">Kata kunci: </w:t>
      </w:r>
      <w:r w:rsidR="0003166C" w:rsidRPr="0003166C">
        <w:rPr>
          <w:rFonts w:ascii="Tw Cen MT" w:eastAsia="Tw Cent MT" w:hAnsi="Tw Cen MT" w:cs="Tw Cent MT"/>
          <w:i/>
          <w:sz w:val="20"/>
        </w:rPr>
        <w:t>Chain-of-Thought</w:t>
      </w:r>
      <w:r w:rsidR="0003166C">
        <w:rPr>
          <w:rFonts w:ascii="Tw Cen MT" w:eastAsia="Tw Cent MT" w:hAnsi="Tw Cen MT" w:cs="Tw Cent MT"/>
          <w:i/>
          <w:sz w:val="20"/>
        </w:rPr>
        <w:t>,</w:t>
      </w:r>
      <w:r w:rsidR="0003166C" w:rsidRPr="0003166C">
        <w:rPr>
          <w:rFonts w:ascii="Tw Cen MT" w:eastAsia="Tw Cent MT" w:hAnsi="Tw Cen MT" w:cs="Tw Cent MT"/>
          <w:i/>
          <w:sz w:val="20"/>
        </w:rPr>
        <w:t xml:space="preserve"> ChatGPT</w:t>
      </w:r>
      <w:r w:rsidR="0003166C">
        <w:rPr>
          <w:rFonts w:ascii="Tw Cen MT" w:eastAsia="Tw Cent MT" w:hAnsi="Tw Cen MT" w:cs="Tw Cent MT"/>
          <w:i/>
          <w:sz w:val="20"/>
        </w:rPr>
        <w:t>,</w:t>
      </w:r>
      <w:r w:rsidR="0003166C" w:rsidRPr="0003166C">
        <w:rPr>
          <w:rFonts w:ascii="Tw Cen MT" w:eastAsia="Tw Cent MT" w:hAnsi="Tw Cen MT" w:cs="Tw Cent MT"/>
          <w:i/>
          <w:sz w:val="20"/>
        </w:rPr>
        <w:t xml:space="preserve"> </w:t>
      </w:r>
      <w:r w:rsidR="0003166C" w:rsidRPr="0003166C">
        <w:rPr>
          <w:rFonts w:ascii="Tw Cen MT" w:eastAsia="Tw Cent MT" w:hAnsi="Tw Cen MT" w:cs="Tw Cent MT"/>
          <w:iCs/>
          <w:sz w:val="20"/>
        </w:rPr>
        <w:t>IndoMMLU</w:t>
      </w:r>
      <w:r w:rsidR="0003166C">
        <w:rPr>
          <w:rFonts w:ascii="Tw Cen MT" w:eastAsia="Tw Cent MT" w:hAnsi="Tw Cen MT" w:cs="Tw Cent MT"/>
          <w:i/>
          <w:sz w:val="20"/>
        </w:rPr>
        <w:t>,</w:t>
      </w:r>
      <w:r w:rsidR="0003166C" w:rsidRPr="0003166C">
        <w:rPr>
          <w:rFonts w:ascii="Tw Cen MT" w:eastAsia="Tw Cent MT" w:hAnsi="Tw Cen MT" w:cs="Tw Cent MT"/>
          <w:i/>
          <w:sz w:val="20"/>
        </w:rPr>
        <w:t xml:space="preserve"> Levenshtein Distance</w:t>
      </w:r>
      <w:r w:rsidR="0003166C">
        <w:rPr>
          <w:rFonts w:ascii="Tw Cen MT" w:eastAsia="Tw Cent MT" w:hAnsi="Tw Cen MT" w:cs="Tw Cent MT"/>
          <w:i/>
          <w:sz w:val="20"/>
        </w:rPr>
        <w:t>,</w:t>
      </w:r>
      <w:r w:rsidR="0003166C" w:rsidRPr="0003166C">
        <w:rPr>
          <w:rFonts w:ascii="Tw Cen MT" w:eastAsia="Tw Cent MT" w:hAnsi="Tw Cen MT" w:cs="Tw Cent MT"/>
          <w:i/>
          <w:sz w:val="20"/>
        </w:rPr>
        <w:t xml:space="preserve"> Multiple Choice Question</w:t>
      </w:r>
    </w:p>
    <w:bookmarkStart w:id="0" w:name="sj25m8oyx23e" w:colFirst="0" w:colLast="0"/>
    <w:bookmarkEnd w:id="0"/>
    <w:p w14:paraId="4310941A" w14:textId="77777777" w:rsidR="00D23CC1" w:rsidRPr="00C23FDF" w:rsidRDefault="00000000">
      <w:pPr>
        <w:pBdr>
          <w:top w:val="nil"/>
          <w:left w:val="nil"/>
          <w:bottom w:val="nil"/>
          <w:right w:val="nil"/>
          <w:between w:val="nil"/>
        </w:pBdr>
        <w:spacing w:before="11"/>
        <w:rPr>
          <w:rFonts w:ascii="Tw Cen MT" w:hAnsi="Tw Cen MT"/>
          <w:color w:val="000000"/>
          <w:sz w:val="14"/>
          <w:szCs w:val="14"/>
        </w:rPr>
      </w:pPr>
      <w:r w:rsidRPr="00C23FDF">
        <w:rPr>
          <w:rFonts w:ascii="Tw Cen MT" w:hAnsi="Tw Cen MT"/>
          <w:noProof/>
        </w:rPr>
        <mc:AlternateContent>
          <mc:Choice Requires="wpg">
            <w:drawing>
              <wp:anchor distT="0" distB="0" distL="114300" distR="114300" simplePos="0" relativeHeight="251659264" behindDoc="0" locked="0" layoutInCell="1" hidden="0" allowOverlap="1" wp14:anchorId="41B782C9" wp14:editId="38213ABA">
                <wp:simplePos x="0" y="0"/>
                <wp:positionH relativeFrom="column">
                  <wp:posOffset>-5079</wp:posOffset>
                </wp:positionH>
                <wp:positionV relativeFrom="paragraph">
                  <wp:posOffset>113030</wp:posOffset>
                </wp:positionV>
                <wp:extent cx="57600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-5079</wp:posOffset>
                </wp:positionH>
                <wp:positionV relativeFrom="paragraph">
                  <wp:posOffset>113030</wp:posOffset>
                </wp:positionV>
                <wp:extent cx="5760000" cy="12700"/>
                <wp:effectExtent b="0" l="0" r="0" t="0"/>
                <wp:wrapNone/>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760000" cy="12700"/>
                        </a:xfrm>
                        <a:prstGeom prst="rect"/>
                        <a:ln/>
                      </pic:spPr>
                    </pic:pic>
                  </a:graphicData>
                </a:graphic>
              </wp:anchor>
            </w:drawing>
          </mc:Fallback>
        </mc:AlternateContent>
      </w:r>
    </w:p>
    <w:p w14:paraId="6E0E7D83" w14:textId="77777777" w:rsidR="00D23CC1" w:rsidRPr="00C23FDF" w:rsidRDefault="00D23CC1">
      <w:pPr>
        <w:rPr>
          <w:rFonts w:ascii="Tw Cen MT" w:hAnsi="Tw Cen MT"/>
        </w:rPr>
      </w:pPr>
    </w:p>
    <w:p w14:paraId="3CF20326" w14:textId="77777777" w:rsidR="00D23CC1" w:rsidRPr="00C23FDF" w:rsidRDefault="00000000">
      <w:pPr>
        <w:pStyle w:val="Heading1"/>
        <w:numPr>
          <w:ilvl w:val="0"/>
          <w:numId w:val="1"/>
        </w:numPr>
        <w:spacing w:before="0"/>
        <w:rPr>
          <w:rFonts w:ascii="Tw Cen MT" w:eastAsia="Twentieth Century" w:hAnsi="Tw Cen MT" w:cs="Twentieth Century"/>
          <w:b/>
          <w:bCs/>
          <w:color w:val="000000"/>
          <w:sz w:val="28"/>
          <w:szCs w:val="28"/>
        </w:rPr>
      </w:pPr>
      <w:r w:rsidRPr="00C23FDF">
        <w:rPr>
          <w:rFonts w:ascii="Tw Cen MT" w:eastAsia="Twentieth Century" w:hAnsi="Tw Cen MT" w:cs="Twentieth Century"/>
          <w:b/>
          <w:bCs/>
          <w:color w:val="000000"/>
          <w:sz w:val="28"/>
          <w:szCs w:val="28"/>
        </w:rPr>
        <w:t>Pendahuluan (14 pt)</w:t>
      </w:r>
    </w:p>
    <w:p w14:paraId="55935CFA" w14:textId="77777777" w:rsidR="00AF7D54" w:rsidRDefault="00AF7D54" w:rsidP="00AF7D54">
      <w:pPr>
        <w:ind w:firstLine="360"/>
        <w:jc w:val="both"/>
        <w:rPr>
          <w:rFonts w:ascii="Twentieth Century" w:hAnsi="Twentieth Century"/>
        </w:rPr>
      </w:pPr>
      <w:r w:rsidRPr="00AF7D54">
        <w:rPr>
          <w:rFonts w:ascii="Twentieth Century" w:eastAsia="Tw Cent MT" w:hAnsi="Twentieth Century" w:cs="Tw Cent MT"/>
          <w:sz w:val="20"/>
        </w:rPr>
        <w:t xml:space="preserve">Large Language Model (LLM) menunjukkan kemajuan signifikan dalam pemrosesan bahasa alami, terutama dalam pemahaman konteks, penalaran, dan penyelesaian soal akademik berbasis teks maupun </w:t>
      </w:r>
      <w:r w:rsidRPr="00AF7D54">
        <w:rPr>
          <w:rFonts w:ascii="Twentieth Century" w:eastAsia="Tw Cent MT" w:hAnsi="Twentieth Century" w:cs="Tw Cent MT"/>
          <w:i/>
          <w:sz w:val="20"/>
        </w:rPr>
        <w:t>Multiple Choice Question</w:t>
      </w:r>
      <w:r w:rsidRPr="00AF7D54">
        <w:rPr>
          <w:rFonts w:ascii="Twentieth Century" w:eastAsia="Tw Cent MT" w:hAnsi="Twentieth Century" w:cs="Tw Cent MT"/>
          <w:sz w:val="20"/>
        </w:rPr>
        <w:t xml:space="preserve"> (MCQ) [1], [2]. Model LLM terkini seperti ChatGPT dan GPT-4 menunjukkan performa tinggi pada berbagai </w:t>
      </w:r>
      <w:r w:rsidRPr="00AF7D54">
        <w:rPr>
          <w:rFonts w:ascii="Twentieth Century" w:eastAsia="Tw Cent MT" w:hAnsi="Twentieth Century" w:cs="Tw Cent MT"/>
          <w:i/>
          <w:sz w:val="20"/>
        </w:rPr>
        <w:t>benchmark</w:t>
      </w:r>
      <w:r w:rsidRPr="00AF7D54">
        <w:rPr>
          <w:rFonts w:ascii="Twentieth Century" w:eastAsia="Tw Cent MT" w:hAnsi="Twentieth Century" w:cs="Tw Cent MT"/>
          <w:sz w:val="20"/>
        </w:rPr>
        <w:t xml:space="preserve"> internasional, bahkan pada sebagian tugas penalaran dinyatakan mampu menyamai performa manusia [2], [3], [4].</w:t>
      </w:r>
    </w:p>
    <w:p w14:paraId="00EE6826" w14:textId="77777777" w:rsidR="00AF7D54" w:rsidRDefault="00AF7D54" w:rsidP="00AF7D54">
      <w:pPr>
        <w:ind w:firstLine="360"/>
        <w:jc w:val="both"/>
        <w:rPr>
          <w:rFonts w:ascii="Twentieth Century" w:hAnsi="Twentieth Century"/>
        </w:rPr>
      </w:pPr>
      <w:r w:rsidRPr="00AF7D54">
        <w:rPr>
          <w:rFonts w:ascii="Twentieth Century" w:eastAsia="Tw Cent MT" w:hAnsi="Twentieth Century" w:cs="Tw Cent MT"/>
          <w:sz w:val="20"/>
        </w:rPr>
        <w:t>Performa tinggi tersebut umumnya diukur menggunakan dataset dan bahasa Inggris, sehingga belum sepenuhnya merepresentasikan kemampuan model dalam memahami bahasa dan budaya lokal. Kondisi ini mendorong pengembangan IndoMMLU sebagai benchmark nasional untuk mengevaluasi kemampuan LLM dalam konteks bahasa Indonesia dan bahasa daerah [1]. Hasil evaluasi awal pada IndoMMLU menunjukkan performa LLM yang bervariasi dan cenderung lebih rendah dibandingkan benchmark global, sejalan dengan temuan bahwa karakteristik bahasa dan domain pengetahuan berpengaruh signifikan terhadap performa LLM pada bahasa non-Inggris [5], [6].</w:t>
      </w:r>
    </w:p>
    <w:p w14:paraId="7BF367AB" w14:textId="77777777" w:rsidR="00AF7D54" w:rsidRDefault="00AF7D54" w:rsidP="00AF7D54">
      <w:pPr>
        <w:ind w:firstLine="360"/>
        <w:jc w:val="both"/>
        <w:rPr>
          <w:rFonts w:ascii="Twentieth Century" w:hAnsi="Twentieth Century"/>
        </w:rPr>
      </w:pPr>
      <w:r w:rsidRPr="00AF7D54">
        <w:rPr>
          <w:rFonts w:ascii="Twentieth Century" w:eastAsia="Tw Cent MT" w:hAnsi="Twentieth Century" w:cs="Tw Cent MT"/>
          <w:sz w:val="20"/>
        </w:rPr>
        <w:t xml:space="preserve">Permasalahan evaluasi LLM pada domain bahasa Indonesia tidak hanya berkaitan dengan karakteristik dataset, tetapi juga strategi </w:t>
      </w:r>
      <w:r w:rsidRPr="00AF7D54">
        <w:rPr>
          <w:rFonts w:ascii="Twentieth Century" w:eastAsia="Tw Cent MT" w:hAnsi="Twentieth Century" w:cs="Tw Cent MT"/>
          <w:i/>
          <w:sz w:val="20"/>
        </w:rPr>
        <w:t>prompting</w:t>
      </w:r>
      <w:r w:rsidRPr="00AF7D54">
        <w:rPr>
          <w:rFonts w:ascii="Twentieth Century" w:eastAsia="Tw Cent MT" w:hAnsi="Twentieth Century" w:cs="Tw Cent MT"/>
          <w:sz w:val="20"/>
        </w:rPr>
        <w:t xml:space="preserve"> yang digunakan. Evaluasi akurasi jawaban pada penelitian berbasis MCQ umumnya hanya menilai kecocokan opsi jawaban terhadap kunci referensi [1], [7], [8], sehingga belum </w:t>
      </w:r>
      <w:r w:rsidRPr="00AF7D54">
        <w:rPr>
          <w:rFonts w:ascii="Twentieth Century" w:eastAsia="Tw Cent MT" w:hAnsi="Twentieth Century" w:cs="Tw Cent MT"/>
          <w:sz w:val="20"/>
        </w:rPr>
        <w:lastRenderedPageBreak/>
        <w:t xml:space="preserve">mengevaluasi kesesuaian narasi jawaban yang dihasilkan model. Pendekatan </w:t>
      </w:r>
      <w:r w:rsidRPr="00AF7D54">
        <w:rPr>
          <w:rFonts w:ascii="Twentieth Century" w:eastAsia="Tw Cent MT" w:hAnsi="Twentieth Century" w:cs="Tw Cent MT"/>
          <w:i/>
          <w:sz w:val="20"/>
        </w:rPr>
        <w:t>Chain-of-Thought</w:t>
      </w:r>
      <w:r w:rsidRPr="00AF7D54">
        <w:rPr>
          <w:rFonts w:ascii="Twentieth Century" w:eastAsia="Tw Cent MT" w:hAnsi="Twentieth Century" w:cs="Tw Cent MT"/>
          <w:sz w:val="20"/>
        </w:rPr>
        <w:t xml:space="preserve"> (CoT) dilaporkan mampu meningkatkan kualitas penalaran dan akurasi jawaban model pada berbagai tugas evaluasi akademik dan profesional [3], [9], [10], namun efektivitasnya sangat bergantung pada jenis tugas dan konteks bahasa yang diuji [5].</w:t>
      </w:r>
    </w:p>
    <w:p w14:paraId="0BBEB784" w14:textId="77777777" w:rsidR="00AF7D54" w:rsidRDefault="00AF7D54" w:rsidP="00AF7D54">
      <w:pPr>
        <w:ind w:firstLine="360"/>
        <w:jc w:val="both"/>
        <w:rPr>
          <w:rFonts w:ascii="Twentieth Century" w:hAnsi="Twentieth Century"/>
        </w:rPr>
      </w:pPr>
      <w:r w:rsidRPr="00AF7D54">
        <w:rPr>
          <w:rFonts w:ascii="Twentieth Century" w:eastAsia="Tw Cent MT" w:hAnsi="Twentieth Century" w:cs="Tw Cent MT"/>
          <w:sz w:val="20"/>
        </w:rPr>
        <w:t xml:space="preserve">Metode evaluasi akurasi jawaban LLM juga masih banyak mengandalkan pencocokan opsi secara eksak atau analisis kualitatif manual, yang memiliki keterbatasan objektivitas dan skalabilitas pada dataset besar seperti IndoMMLU. Kondisi ini mendorong penggunaan metode kuantitatif berbasis kemiripan teks, salah satunya algoritma </w:t>
      </w:r>
      <w:r w:rsidRPr="00AF7D54">
        <w:rPr>
          <w:rFonts w:ascii="Twentieth Century" w:eastAsia="Tw Cent MT" w:hAnsi="Twentieth Century" w:cs="Tw Cent MT"/>
          <w:i/>
          <w:sz w:val="20"/>
        </w:rPr>
        <w:t>Levenshtein Distance</w:t>
      </w:r>
      <w:r w:rsidRPr="00AF7D54">
        <w:rPr>
          <w:rFonts w:ascii="Twentieth Century" w:eastAsia="Tw Cent MT" w:hAnsi="Twentieth Century" w:cs="Tw Cent MT"/>
          <w:sz w:val="20"/>
        </w:rPr>
        <w:t>, yang telah banyak diterapkan pada berbagai domain seperti analisis pola gerak, deteksi intrusi jaringan, hingga forensik genetik [11]-[14]. Meskipun demikian, pemanfaatan algoritma ini untuk mengevaluasi kesesuaian narasi jawaban LLM berbahasa Indonesia masih relatif terbatas [15].</w:t>
      </w:r>
    </w:p>
    <w:p w14:paraId="3B792804" w14:textId="77777777" w:rsidR="00AF7D54" w:rsidRDefault="00AF7D54" w:rsidP="00AF7D54">
      <w:pPr>
        <w:ind w:firstLine="360"/>
        <w:jc w:val="both"/>
        <w:rPr>
          <w:rFonts w:ascii="Twentieth Century" w:hAnsi="Twentieth Century"/>
        </w:rPr>
      </w:pPr>
      <w:r w:rsidRPr="00AF7D54">
        <w:rPr>
          <w:rFonts w:ascii="Twentieth Century" w:eastAsia="Tw Cent MT" w:hAnsi="Twentieth Century" w:cs="Tw Cent MT"/>
          <w:sz w:val="20"/>
        </w:rPr>
        <w:t>Penelitian ini bertujuan mengukur tingkat akurasi jawaban ChatGPT dengan model GPT-4o mini pada soal MCQ dataset IndoMMLU domain bahasa daerah, serta membandingkan efektivitas pendekatan Chain-of-Thought dan Non-Chain-of-Thought terhadap kesesuaian narasi jawaban akhir model menggunakan algoritma Levenshtein Distance. Dataset IndoMMLU diproses melalui tahapan preprocessing dan difokuskan pada sembilan domain bahasa agar evaluasi lebih spesifik dan terkontrol. Kedua pendekatan prompting diuji melalui empat skenario dengan variasi jumlah dan komposisi domain, sehingga selain mengetahui akurasi jawaban, penelitian ini juga menganalisis konsistensi performa CoT terhadap skala pengujian serta konsekuensinya terhadap penggunaan token dan waktu respons.</w:t>
      </w:r>
    </w:p>
    <w:p w14:paraId="2D62F05E" w14:textId="29624EE3" w:rsidR="00AF7D54" w:rsidRPr="00AF7D54" w:rsidRDefault="00AF7D54" w:rsidP="008834A1">
      <w:pPr>
        <w:spacing w:after="240"/>
        <w:ind w:firstLine="360"/>
        <w:jc w:val="both"/>
        <w:rPr>
          <w:rFonts w:ascii="Twentieth Century" w:hAnsi="Twentieth Century"/>
        </w:rPr>
      </w:pPr>
      <w:r w:rsidRPr="00AF7D54">
        <w:rPr>
          <w:rFonts w:ascii="Twentieth Century" w:eastAsia="Tw Cent MT" w:hAnsi="Twentieth Century" w:cs="Tw Cent MT"/>
          <w:sz w:val="20"/>
        </w:rPr>
        <w:t>Kebaruan penelitian ini terletak pada penggunaan Levenshtein Distance untuk mengevaluasi kesesuaian narasi jawaban akhir ChatGPT-bukan hanya kecocokan opsi pilihan ganda-pada dataset bahasa daerah Indonesia, sekaligus mengukur trade-off antara akurasi dan efisiensi komputasi (token dan latensi) pada perbandingan CoT dan Non-CoT. Artikel ini disusun mengikuti struktur IMRaD: Bagian 2 menjelaskan metode penelitian, Bagian 3 menyajikan hasil dan pembahasan, dan Bagian 4 memuat kesimpulan.</w:t>
      </w:r>
    </w:p>
    <w:p w14:paraId="09C1DF43" w14:textId="77777777" w:rsidR="00D23CC1" w:rsidRPr="00C23FDF" w:rsidRDefault="00000000">
      <w:pPr>
        <w:pStyle w:val="Heading1"/>
        <w:numPr>
          <w:ilvl w:val="0"/>
          <w:numId w:val="1"/>
        </w:numPr>
        <w:spacing w:before="0"/>
        <w:rPr>
          <w:rFonts w:ascii="Tw Cen MT" w:eastAsia="Twentieth Century" w:hAnsi="Tw Cen MT" w:cs="Twentieth Century"/>
          <w:b/>
          <w:bCs/>
          <w:color w:val="000000"/>
          <w:sz w:val="28"/>
          <w:szCs w:val="28"/>
        </w:rPr>
      </w:pPr>
      <w:r w:rsidRPr="00C23FDF">
        <w:rPr>
          <w:rFonts w:ascii="Tw Cen MT" w:eastAsia="Twentieth Century" w:hAnsi="Tw Cen MT" w:cs="Twentieth Century"/>
          <w:b/>
          <w:bCs/>
          <w:color w:val="000000"/>
          <w:sz w:val="28"/>
          <w:szCs w:val="28"/>
        </w:rPr>
        <w:t>Metode (14 pt)</w:t>
      </w:r>
    </w:p>
    <w:p w14:paraId="6D9ECB01" w14:textId="16FBA3D9" w:rsidR="00D23CC1" w:rsidRPr="000B146F" w:rsidRDefault="000B146F">
      <w:pPr>
        <w:pBdr>
          <w:top w:val="nil"/>
          <w:left w:val="nil"/>
          <w:bottom w:val="nil"/>
          <w:right w:val="nil"/>
          <w:between w:val="nil"/>
        </w:pBdr>
        <w:spacing w:before="133" w:after="240"/>
        <w:ind w:right="48"/>
        <w:jc w:val="both"/>
        <w:rPr>
          <w:rFonts w:ascii="Tw Cen MT" w:eastAsia="Twentieth Century" w:hAnsi="Tw Cen MT" w:cs="Twentieth Century"/>
          <w:color w:val="000000"/>
          <w:sz w:val="20"/>
          <w:szCs w:val="20"/>
        </w:rPr>
      </w:pPr>
      <w:r w:rsidRPr="000B146F">
        <w:rPr>
          <w:rFonts w:ascii="Tw Cen MT" w:eastAsia="Tw Cent MT" w:hAnsi="Tw Cen MT" w:cs="Tw Cent MT"/>
          <w:sz w:val="20"/>
        </w:rPr>
        <w:t>Penelitian ini menggunakan metode eksperimen kuantitatif yang terdiri atas empat tahapan utama, yaitu penyiapan dataset, perancangan prompt pengujian, penerapan metode Chain-of-Thought dan Non-Chain-of-Thought, serta perhitungan akurasi menggunakan algoritma Levenshtein Distance. Seluruh tahapan diotomatisasi melalui aplikasi evaluasi berbasis web bernama EvalGPT yang mengintegrasikan proses pengujian, pemanggilan model, dan penyimpanan hasil</w:t>
      </w:r>
      <w:r w:rsidRPr="000B146F">
        <w:rPr>
          <w:rFonts w:ascii="Tw Cen MT" w:eastAsia="Twentieth Century" w:hAnsi="Tw Cen MT" w:cs="Twentieth Century"/>
          <w:color w:val="000000"/>
          <w:sz w:val="20"/>
          <w:szCs w:val="20"/>
        </w:rPr>
        <w:t>.</w:t>
      </w:r>
    </w:p>
    <w:p w14:paraId="7FDED201" w14:textId="77777777" w:rsidR="00D23CC1" w:rsidRPr="00C23FDF" w:rsidRDefault="00000000">
      <w:pPr>
        <w:pBdr>
          <w:top w:val="nil"/>
          <w:left w:val="nil"/>
          <w:bottom w:val="nil"/>
          <w:right w:val="nil"/>
          <w:between w:val="nil"/>
        </w:pBdr>
        <w:spacing w:before="133" w:after="240"/>
        <w:ind w:right="48"/>
        <w:jc w:val="center"/>
        <w:rPr>
          <w:rFonts w:ascii="Tw Cen MT" w:eastAsia="Twentieth Century" w:hAnsi="Tw Cen MT" w:cs="Twentieth Century"/>
          <w:color w:val="000000"/>
        </w:rPr>
      </w:pPr>
      <w:r w:rsidRPr="00C23FDF">
        <w:rPr>
          <w:rFonts w:ascii="Tw Cen MT" w:hAnsi="Tw Cen MT"/>
          <w:noProof/>
          <w:color w:val="000000"/>
          <w:sz w:val="20"/>
          <w:szCs w:val="20"/>
        </w:rPr>
        <w:drawing>
          <wp:inline distT="0" distB="0" distL="0" distR="0" wp14:anchorId="6DD6C603" wp14:editId="63775620">
            <wp:extent cx="3772352" cy="200281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3679" t="11006" r="1366" b="3949"/>
                    <a:stretch>
                      <a:fillRect/>
                    </a:stretch>
                  </pic:blipFill>
                  <pic:spPr>
                    <a:xfrm>
                      <a:off x="0" y="0"/>
                      <a:ext cx="3772352" cy="2002810"/>
                    </a:xfrm>
                    <a:prstGeom prst="rect">
                      <a:avLst/>
                    </a:prstGeom>
                    <a:ln/>
                  </pic:spPr>
                </pic:pic>
              </a:graphicData>
            </a:graphic>
          </wp:inline>
        </w:drawing>
      </w:r>
    </w:p>
    <w:p w14:paraId="222B7F41" w14:textId="77777777" w:rsidR="00D23CC1" w:rsidRPr="00C23FDF" w:rsidRDefault="00000000">
      <w:pPr>
        <w:pBdr>
          <w:top w:val="nil"/>
          <w:left w:val="nil"/>
          <w:bottom w:val="nil"/>
          <w:right w:val="nil"/>
          <w:between w:val="nil"/>
        </w:pBdr>
        <w:spacing w:before="133" w:after="240"/>
        <w:ind w:right="48"/>
        <w:jc w:val="center"/>
        <w:rPr>
          <w:rFonts w:ascii="Tw Cen MT" w:eastAsia="Twentieth Century" w:hAnsi="Tw Cen MT" w:cs="Twentieth Century"/>
          <w:color w:val="000000"/>
          <w:sz w:val="18"/>
          <w:szCs w:val="18"/>
        </w:rPr>
      </w:pPr>
      <w:r w:rsidRPr="00C23FDF">
        <w:rPr>
          <w:rFonts w:ascii="Tw Cen MT" w:eastAsia="Twentieth Century" w:hAnsi="Tw Cen MT" w:cs="Twentieth Century"/>
          <w:color w:val="000000"/>
          <w:sz w:val="18"/>
          <w:szCs w:val="18"/>
        </w:rPr>
        <w:t>Gambar 1. Contoh gambar (9 pt)</w:t>
      </w:r>
    </w:p>
    <w:p w14:paraId="79BDA312" w14:textId="77777777" w:rsidR="00D23CC1" w:rsidRPr="00C23FDF" w:rsidRDefault="00000000">
      <w:pPr>
        <w:pBdr>
          <w:top w:val="nil"/>
          <w:left w:val="nil"/>
          <w:bottom w:val="nil"/>
          <w:right w:val="nil"/>
          <w:between w:val="nil"/>
        </w:pBdr>
        <w:spacing w:before="133" w:after="240"/>
        <w:ind w:right="48"/>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Contoh tabel ditunjukkan sebagai berikut.</w:t>
      </w:r>
    </w:p>
    <w:p w14:paraId="7B25EE29" w14:textId="77777777" w:rsidR="00D23CC1" w:rsidRPr="00C23FDF" w:rsidRDefault="00000000">
      <w:pPr>
        <w:pBdr>
          <w:top w:val="nil"/>
          <w:left w:val="nil"/>
          <w:bottom w:val="nil"/>
          <w:right w:val="nil"/>
          <w:between w:val="nil"/>
        </w:pBdr>
        <w:spacing w:before="133"/>
        <w:ind w:right="48"/>
        <w:jc w:val="center"/>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Tabel 1. Contoh tabel (10 pt)</w:t>
      </w:r>
    </w:p>
    <w:tbl>
      <w:tblPr>
        <w:tblStyle w:val="a"/>
        <w:tblW w:w="6532" w:type="dxa"/>
        <w:jc w:val="center"/>
        <w:tblInd w:w="0" w:type="dxa"/>
        <w:tblBorders>
          <w:bottom w:val="single" w:sz="4" w:space="0" w:color="000000"/>
        </w:tblBorders>
        <w:tblLayout w:type="fixed"/>
        <w:tblLook w:val="0000" w:firstRow="0" w:lastRow="0" w:firstColumn="0" w:lastColumn="0" w:noHBand="0" w:noVBand="0"/>
      </w:tblPr>
      <w:tblGrid>
        <w:gridCol w:w="1124"/>
        <w:gridCol w:w="1358"/>
        <w:gridCol w:w="1350"/>
        <w:gridCol w:w="1350"/>
        <w:gridCol w:w="1350"/>
      </w:tblGrid>
      <w:tr w:rsidR="00D23CC1" w:rsidRPr="00C23FDF" w14:paraId="50A9324C" w14:textId="77777777">
        <w:trPr>
          <w:jc w:val="center"/>
        </w:trPr>
        <w:tc>
          <w:tcPr>
            <w:tcW w:w="1124" w:type="dxa"/>
            <w:tcBorders>
              <w:top w:val="single" w:sz="4" w:space="0" w:color="000000"/>
              <w:left w:val="nil"/>
              <w:bottom w:val="single" w:sz="4" w:space="0" w:color="000000"/>
              <w:right w:val="nil"/>
            </w:tcBorders>
          </w:tcPr>
          <w:p w14:paraId="792E8836"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Variable (9pt)</w:t>
            </w:r>
          </w:p>
        </w:tc>
        <w:tc>
          <w:tcPr>
            <w:tcW w:w="1358" w:type="dxa"/>
            <w:tcBorders>
              <w:top w:val="single" w:sz="4" w:space="0" w:color="000000"/>
              <w:left w:val="nil"/>
              <w:bottom w:val="single" w:sz="4" w:space="0" w:color="000000"/>
              <w:right w:val="nil"/>
            </w:tcBorders>
          </w:tcPr>
          <w:p w14:paraId="092C806C"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Speed (rpm)</w:t>
            </w:r>
          </w:p>
        </w:tc>
        <w:tc>
          <w:tcPr>
            <w:tcW w:w="1350" w:type="dxa"/>
            <w:tcBorders>
              <w:top w:val="single" w:sz="4" w:space="0" w:color="000000"/>
              <w:left w:val="nil"/>
              <w:bottom w:val="single" w:sz="4" w:space="0" w:color="000000"/>
              <w:right w:val="nil"/>
            </w:tcBorders>
          </w:tcPr>
          <w:p w14:paraId="0B476C01"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Power (kW)</w:t>
            </w:r>
          </w:p>
        </w:tc>
        <w:tc>
          <w:tcPr>
            <w:tcW w:w="1350" w:type="dxa"/>
            <w:tcBorders>
              <w:top w:val="single" w:sz="4" w:space="0" w:color="000000"/>
              <w:left w:val="nil"/>
              <w:bottom w:val="single" w:sz="4" w:space="0" w:color="000000"/>
              <w:right w:val="nil"/>
            </w:tcBorders>
          </w:tcPr>
          <w:p w14:paraId="4E0721C1"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Power (kW)</w:t>
            </w:r>
          </w:p>
        </w:tc>
        <w:tc>
          <w:tcPr>
            <w:tcW w:w="1350" w:type="dxa"/>
            <w:tcBorders>
              <w:top w:val="single" w:sz="4" w:space="0" w:color="000000"/>
              <w:left w:val="nil"/>
              <w:bottom w:val="single" w:sz="4" w:space="0" w:color="000000"/>
              <w:right w:val="nil"/>
            </w:tcBorders>
          </w:tcPr>
          <w:p w14:paraId="02A6B638"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Power (kW)</w:t>
            </w:r>
          </w:p>
        </w:tc>
      </w:tr>
      <w:tr w:rsidR="00D23CC1" w:rsidRPr="00C23FDF" w14:paraId="3040E8C7" w14:textId="77777777">
        <w:trPr>
          <w:jc w:val="center"/>
        </w:trPr>
        <w:tc>
          <w:tcPr>
            <w:tcW w:w="1124" w:type="dxa"/>
            <w:tcBorders>
              <w:top w:val="single" w:sz="4" w:space="0" w:color="000000"/>
              <w:left w:val="nil"/>
              <w:bottom w:val="nil"/>
              <w:right w:val="nil"/>
            </w:tcBorders>
          </w:tcPr>
          <w:p w14:paraId="05FB710C"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(9 pt) a</w:t>
            </w:r>
          </w:p>
        </w:tc>
        <w:tc>
          <w:tcPr>
            <w:tcW w:w="1358" w:type="dxa"/>
            <w:tcBorders>
              <w:top w:val="single" w:sz="4" w:space="0" w:color="000000"/>
              <w:left w:val="nil"/>
              <w:bottom w:val="nil"/>
              <w:right w:val="nil"/>
            </w:tcBorders>
          </w:tcPr>
          <w:p w14:paraId="1A2C7EE7"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10</w:t>
            </w:r>
          </w:p>
        </w:tc>
        <w:tc>
          <w:tcPr>
            <w:tcW w:w="1350" w:type="dxa"/>
            <w:tcBorders>
              <w:top w:val="single" w:sz="4" w:space="0" w:color="000000"/>
              <w:left w:val="nil"/>
              <w:bottom w:val="nil"/>
              <w:right w:val="nil"/>
            </w:tcBorders>
          </w:tcPr>
          <w:p w14:paraId="380D1778"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8.6</w:t>
            </w:r>
          </w:p>
        </w:tc>
        <w:tc>
          <w:tcPr>
            <w:tcW w:w="1350" w:type="dxa"/>
            <w:tcBorders>
              <w:top w:val="single" w:sz="4" w:space="0" w:color="000000"/>
              <w:left w:val="nil"/>
              <w:bottom w:val="nil"/>
              <w:right w:val="nil"/>
            </w:tcBorders>
          </w:tcPr>
          <w:p w14:paraId="694A2F3B"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8.6</w:t>
            </w:r>
          </w:p>
        </w:tc>
        <w:tc>
          <w:tcPr>
            <w:tcW w:w="1350" w:type="dxa"/>
            <w:tcBorders>
              <w:top w:val="single" w:sz="4" w:space="0" w:color="000000"/>
              <w:left w:val="nil"/>
              <w:bottom w:val="nil"/>
              <w:right w:val="nil"/>
            </w:tcBorders>
          </w:tcPr>
          <w:p w14:paraId="5E02E610"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8.6</w:t>
            </w:r>
          </w:p>
        </w:tc>
      </w:tr>
      <w:tr w:rsidR="00D23CC1" w:rsidRPr="00C23FDF" w14:paraId="00598579" w14:textId="77777777">
        <w:trPr>
          <w:jc w:val="center"/>
        </w:trPr>
        <w:tc>
          <w:tcPr>
            <w:tcW w:w="1124" w:type="dxa"/>
            <w:tcBorders>
              <w:top w:val="nil"/>
              <w:left w:val="nil"/>
              <w:bottom w:val="nil"/>
              <w:right w:val="nil"/>
            </w:tcBorders>
          </w:tcPr>
          <w:p w14:paraId="452EE286"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b</w:t>
            </w:r>
          </w:p>
        </w:tc>
        <w:tc>
          <w:tcPr>
            <w:tcW w:w="1358" w:type="dxa"/>
            <w:tcBorders>
              <w:top w:val="nil"/>
              <w:left w:val="nil"/>
              <w:bottom w:val="nil"/>
              <w:right w:val="nil"/>
            </w:tcBorders>
          </w:tcPr>
          <w:p w14:paraId="32B50C6B"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15</w:t>
            </w:r>
          </w:p>
        </w:tc>
        <w:tc>
          <w:tcPr>
            <w:tcW w:w="1350" w:type="dxa"/>
            <w:tcBorders>
              <w:top w:val="nil"/>
              <w:left w:val="nil"/>
              <w:bottom w:val="nil"/>
              <w:right w:val="nil"/>
            </w:tcBorders>
          </w:tcPr>
          <w:p w14:paraId="66AA2143"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12.4</w:t>
            </w:r>
          </w:p>
        </w:tc>
        <w:tc>
          <w:tcPr>
            <w:tcW w:w="1350" w:type="dxa"/>
            <w:tcBorders>
              <w:top w:val="nil"/>
              <w:left w:val="nil"/>
              <w:bottom w:val="nil"/>
              <w:right w:val="nil"/>
            </w:tcBorders>
          </w:tcPr>
          <w:p w14:paraId="27CAF09E"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12.4</w:t>
            </w:r>
          </w:p>
        </w:tc>
        <w:tc>
          <w:tcPr>
            <w:tcW w:w="1350" w:type="dxa"/>
            <w:tcBorders>
              <w:top w:val="nil"/>
              <w:left w:val="nil"/>
              <w:bottom w:val="nil"/>
              <w:right w:val="nil"/>
            </w:tcBorders>
          </w:tcPr>
          <w:p w14:paraId="2F7D98BE"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12.4</w:t>
            </w:r>
          </w:p>
        </w:tc>
      </w:tr>
      <w:tr w:rsidR="00D23CC1" w:rsidRPr="00C23FDF" w14:paraId="52198DFB" w14:textId="77777777">
        <w:trPr>
          <w:jc w:val="center"/>
        </w:trPr>
        <w:tc>
          <w:tcPr>
            <w:tcW w:w="1124" w:type="dxa"/>
            <w:tcBorders>
              <w:top w:val="nil"/>
              <w:left w:val="nil"/>
              <w:bottom w:val="nil"/>
              <w:right w:val="nil"/>
            </w:tcBorders>
          </w:tcPr>
          <w:p w14:paraId="05621B46"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c</w:t>
            </w:r>
          </w:p>
        </w:tc>
        <w:tc>
          <w:tcPr>
            <w:tcW w:w="1358" w:type="dxa"/>
            <w:tcBorders>
              <w:top w:val="nil"/>
              <w:left w:val="nil"/>
              <w:bottom w:val="nil"/>
              <w:right w:val="nil"/>
            </w:tcBorders>
          </w:tcPr>
          <w:p w14:paraId="1FBCF545"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20</w:t>
            </w:r>
          </w:p>
        </w:tc>
        <w:tc>
          <w:tcPr>
            <w:tcW w:w="1350" w:type="dxa"/>
            <w:tcBorders>
              <w:top w:val="nil"/>
              <w:left w:val="nil"/>
              <w:bottom w:val="nil"/>
              <w:right w:val="nil"/>
            </w:tcBorders>
          </w:tcPr>
          <w:p w14:paraId="2F1A19B1"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15.3</w:t>
            </w:r>
          </w:p>
        </w:tc>
        <w:tc>
          <w:tcPr>
            <w:tcW w:w="1350" w:type="dxa"/>
            <w:tcBorders>
              <w:top w:val="nil"/>
              <w:left w:val="nil"/>
              <w:bottom w:val="nil"/>
              <w:right w:val="nil"/>
            </w:tcBorders>
          </w:tcPr>
          <w:p w14:paraId="175862BF"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15.3</w:t>
            </w:r>
          </w:p>
        </w:tc>
        <w:tc>
          <w:tcPr>
            <w:tcW w:w="1350" w:type="dxa"/>
            <w:tcBorders>
              <w:top w:val="nil"/>
              <w:left w:val="nil"/>
              <w:bottom w:val="nil"/>
              <w:right w:val="nil"/>
            </w:tcBorders>
          </w:tcPr>
          <w:p w14:paraId="34D10780"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15.3</w:t>
            </w:r>
          </w:p>
        </w:tc>
      </w:tr>
      <w:tr w:rsidR="00D23CC1" w:rsidRPr="00C23FDF" w14:paraId="7EB354AD" w14:textId="77777777">
        <w:trPr>
          <w:jc w:val="center"/>
        </w:trPr>
        <w:tc>
          <w:tcPr>
            <w:tcW w:w="1124" w:type="dxa"/>
            <w:tcBorders>
              <w:top w:val="nil"/>
              <w:left w:val="nil"/>
              <w:bottom w:val="nil"/>
              <w:right w:val="nil"/>
            </w:tcBorders>
          </w:tcPr>
          <w:p w14:paraId="3968BB86"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d</w:t>
            </w:r>
          </w:p>
        </w:tc>
        <w:tc>
          <w:tcPr>
            <w:tcW w:w="1358" w:type="dxa"/>
            <w:tcBorders>
              <w:top w:val="nil"/>
              <w:left w:val="nil"/>
              <w:bottom w:val="nil"/>
              <w:right w:val="nil"/>
            </w:tcBorders>
          </w:tcPr>
          <w:p w14:paraId="01EEE40B"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10</w:t>
            </w:r>
          </w:p>
        </w:tc>
        <w:tc>
          <w:tcPr>
            <w:tcW w:w="1350" w:type="dxa"/>
            <w:tcBorders>
              <w:top w:val="nil"/>
              <w:left w:val="nil"/>
              <w:bottom w:val="nil"/>
              <w:right w:val="nil"/>
            </w:tcBorders>
          </w:tcPr>
          <w:p w14:paraId="44AF1DBD"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8.6</w:t>
            </w:r>
          </w:p>
        </w:tc>
        <w:tc>
          <w:tcPr>
            <w:tcW w:w="1350" w:type="dxa"/>
            <w:tcBorders>
              <w:top w:val="nil"/>
              <w:left w:val="nil"/>
              <w:bottom w:val="nil"/>
              <w:right w:val="nil"/>
            </w:tcBorders>
          </w:tcPr>
          <w:p w14:paraId="0D14A7CB"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8.6</w:t>
            </w:r>
          </w:p>
        </w:tc>
        <w:tc>
          <w:tcPr>
            <w:tcW w:w="1350" w:type="dxa"/>
            <w:tcBorders>
              <w:top w:val="nil"/>
              <w:left w:val="nil"/>
              <w:bottom w:val="nil"/>
              <w:right w:val="nil"/>
            </w:tcBorders>
          </w:tcPr>
          <w:p w14:paraId="6C75CFD7"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8.6</w:t>
            </w:r>
          </w:p>
        </w:tc>
      </w:tr>
      <w:tr w:rsidR="00D23CC1" w:rsidRPr="00C23FDF" w14:paraId="23201E98" w14:textId="77777777">
        <w:trPr>
          <w:jc w:val="center"/>
        </w:trPr>
        <w:tc>
          <w:tcPr>
            <w:tcW w:w="1124" w:type="dxa"/>
            <w:tcBorders>
              <w:top w:val="nil"/>
              <w:left w:val="nil"/>
              <w:bottom w:val="nil"/>
              <w:right w:val="nil"/>
            </w:tcBorders>
          </w:tcPr>
          <w:p w14:paraId="40C46E81"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e</w:t>
            </w:r>
          </w:p>
        </w:tc>
        <w:tc>
          <w:tcPr>
            <w:tcW w:w="1358" w:type="dxa"/>
            <w:tcBorders>
              <w:top w:val="nil"/>
              <w:left w:val="nil"/>
              <w:bottom w:val="nil"/>
              <w:right w:val="nil"/>
            </w:tcBorders>
          </w:tcPr>
          <w:p w14:paraId="4AD015DE"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15</w:t>
            </w:r>
          </w:p>
        </w:tc>
        <w:tc>
          <w:tcPr>
            <w:tcW w:w="1350" w:type="dxa"/>
            <w:tcBorders>
              <w:top w:val="nil"/>
              <w:left w:val="nil"/>
              <w:bottom w:val="nil"/>
              <w:right w:val="nil"/>
            </w:tcBorders>
          </w:tcPr>
          <w:p w14:paraId="2BE3B8AC"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12.4</w:t>
            </w:r>
          </w:p>
        </w:tc>
        <w:tc>
          <w:tcPr>
            <w:tcW w:w="1350" w:type="dxa"/>
            <w:tcBorders>
              <w:top w:val="nil"/>
              <w:left w:val="nil"/>
              <w:bottom w:val="nil"/>
              <w:right w:val="nil"/>
            </w:tcBorders>
          </w:tcPr>
          <w:p w14:paraId="5A305BD9"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12.4</w:t>
            </w:r>
          </w:p>
        </w:tc>
        <w:tc>
          <w:tcPr>
            <w:tcW w:w="1350" w:type="dxa"/>
            <w:tcBorders>
              <w:top w:val="nil"/>
              <w:left w:val="nil"/>
              <w:bottom w:val="nil"/>
              <w:right w:val="nil"/>
            </w:tcBorders>
          </w:tcPr>
          <w:p w14:paraId="0C408AF9"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12.4</w:t>
            </w:r>
          </w:p>
        </w:tc>
      </w:tr>
      <w:tr w:rsidR="00D23CC1" w:rsidRPr="00C23FDF" w14:paraId="44025D73" w14:textId="77777777">
        <w:trPr>
          <w:jc w:val="center"/>
        </w:trPr>
        <w:tc>
          <w:tcPr>
            <w:tcW w:w="1124" w:type="dxa"/>
            <w:tcBorders>
              <w:top w:val="nil"/>
              <w:left w:val="nil"/>
              <w:bottom w:val="single" w:sz="4" w:space="0" w:color="000000"/>
              <w:right w:val="nil"/>
            </w:tcBorders>
          </w:tcPr>
          <w:p w14:paraId="2242602C"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 xml:space="preserve">f </w:t>
            </w:r>
          </w:p>
        </w:tc>
        <w:tc>
          <w:tcPr>
            <w:tcW w:w="1358" w:type="dxa"/>
            <w:tcBorders>
              <w:top w:val="nil"/>
              <w:left w:val="nil"/>
              <w:bottom w:val="single" w:sz="4" w:space="0" w:color="000000"/>
              <w:right w:val="nil"/>
            </w:tcBorders>
          </w:tcPr>
          <w:p w14:paraId="67703F3D" w14:textId="77777777" w:rsidR="00D23CC1" w:rsidRPr="00C23FDF" w:rsidRDefault="00000000">
            <w:pPr>
              <w:jc w:val="center"/>
              <w:rPr>
                <w:rFonts w:ascii="Tw Cen MT" w:eastAsia="Twentieth Century" w:hAnsi="Tw Cen MT" w:cs="Twentieth Century"/>
                <w:sz w:val="18"/>
                <w:szCs w:val="18"/>
              </w:rPr>
            </w:pPr>
            <w:r w:rsidRPr="00C23FDF">
              <w:rPr>
                <w:rFonts w:ascii="Tw Cen MT" w:eastAsia="Twentieth Century" w:hAnsi="Tw Cen MT" w:cs="Twentieth Century"/>
                <w:sz w:val="18"/>
                <w:szCs w:val="18"/>
              </w:rPr>
              <w:t>20</w:t>
            </w:r>
          </w:p>
        </w:tc>
        <w:tc>
          <w:tcPr>
            <w:tcW w:w="1350" w:type="dxa"/>
            <w:tcBorders>
              <w:top w:val="nil"/>
              <w:left w:val="nil"/>
              <w:bottom w:val="single" w:sz="4" w:space="0" w:color="000000"/>
              <w:right w:val="nil"/>
            </w:tcBorders>
          </w:tcPr>
          <w:p w14:paraId="5836FD65"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15.3</w:t>
            </w:r>
          </w:p>
        </w:tc>
        <w:tc>
          <w:tcPr>
            <w:tcW w:w="1350" w:type="dxa"/>
            <w:tcBorders>
              <w:top w:val="nil"/>
              <w:left w:val="nil"/>
              <w:bottom w:val="single" w:sz="4" w:space="0" w:color="000000"/>
              <w:right w:val="nil"/>
            </w:tcBorders>
          </w:tcPr>
          <w:p w14:paraId="50A3FDA8"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15.3</w:t>
            </w:r>
          </w:p>
        </w:tc>
        <w:tc>
          <w:tcPr>
            <w:tcW w:w="1350" w:type="dxa"/>
            <w:tcBorders>
              <w:top w:val="nil"/>
              <w:left w:val="nil"/>
              <w:bottom w:val="single" w:sz="4" w:space="0" w:color="000000"/>
              <w:right w:val="nil"/>
            </w:tcBorders>
          </w:tcPr>
          <w:p w14:paraId="3E46FA70" w14:textId="77777777" w:rsidR="00D23CC1" w:rsidRPr="00C23FDF" w:rsidRDefault="00000000">
            <w:pPr>
              <w:ind w:right="280"/>
              <w:jc w:val="right"/>
              <w:rPr>
                <w:rFonts w:ascii="Tw Cen MT" w:eastAsia="Twentieth Century" w:hAnsi="Tw Cen MT" w:cs="Twentieth Century"/>
                <w:sz w:val="18"/>
                <w:szCs w:val="18"/>
              </w:rPr>
            </w:pPr>
            <w:r w:rsidRPr="00C23FDF">
              <w:rPr>
                <w:rFonts w:ascii="Tw Cen MT" w:eastAsia="Twentieth Century" w:hAnsi="Tw Cen MT" w:cs="Twentieth Century"/>
                <w:sz w:val="18"/>
                <w:szCs w:val="18"/>
              </w:rPr>
              <w:t>15.3</w:t>
            </w:r>
          </w:p>
        </w:tc>
      </w:tr>
    </w:tbl>
    <w:p w14:paraId="29C7D88D" w14:textId="77777777" w:rsidR="00D23CC1" w:rsidRPr="00C23FDF" w:rsidRDefault="00D23CC1">
      <w:pPr>
        <w:pBdr>
          <w:top w:val="nil"/>
          <w:left w:val="nil"/>
          <w:bottom w:val="nil"/>
          <w:right w:val="nil"/>
          <w:between w:val="nil"/>
        </w:pBdr>
        <w:spacing w:before="133" w:after="240"/>
        <w:ind w:right="48"/>
        <w:jc w:val="center"/>
        <w:rPr>
          <w:rFonts w:ascii="Tw Cen MT" w:eastAsia="Twentieth Century" w:hAnsi="Tw Cen MT" w:cs="Twentieth Century"/>
          <w:color w:val="000000"/>
          <w:sz w:val="20"/>
          <w:szCs w:val="20"/>
        </w:rPr>
      </w:pPr>
    </w:p>
    <w:p w14:paraId="72CB4F8B" w14:textId="77777777" w:rsidR="00D23CC1" w:rsidRPr="00C23FDF" w:rsidRDefault="00D23CC1">
      <w:pPr>
        <w:pBdr>
          <w:top w:val="nil"/>
          <w:left w:val="nil"/>
          <w:bottom w:val="nil"/>
          <w:right w:val="nil"/>
          <w:between w:val="nil"/>
        </w:pBdr>
        <w:spacing w:before="133" w:after="240"/>
        <w:ind w:right="48"/>
        <w:rPr>
          <w:rFonts w:ascii="Tw Cen MT" w:eastAsia="Twentieth Century" w:hAnsi="Tw Cen MT" w:cs="Twentieth Century"/>
          <w:color w:val="000000"/>
          <w:sz w:val="20"/>
          <w:szCs w:val="20"/>
        </w:rPr>
      </w:pPr>
    </w:p>
    <w:p w14:paraId="7CB77BC8" w14:textId="77777777" w:rsidR="00D23CC1" w:rsidRPr="00C23FDF" w:rsidRDefault="00D23CC1">
      <w:pPr>
        <w:pBdr>
          <w:top w:val="nil"/>
          <w:left w:val="nil"/>
          <w:bottom w:val="nil"/>
          <w:right w:val="nil"/>
          <w:between w:val="nil"/>
        </w:pBdr>
        <w:spacing w:before="133" w:after="240"/>
        <w:ind w:right="48"/>
        <w:rPr>
          <w:rFonts w:ascii="Tw Cen MT" w:eastAsia="Twentieth Century" w:hAnsi="Tw Cen MT" w:cs="Twentieth Century"/>
          <w:color w:val="000000"/>
          <w:sz w:val="20"/>
          <w:szCs w:val="20"/>
        </w:rPr>
      </w:pPr>
    </w:p>
    <w:p w14:paraId="2614A444" w14:textId="77777777" w:rsidR="00D23CC1" w:rsidRPr="00C23FDF" w:rsidRDefault="00D23CC1">
      <w:pPr>
        <w:pBdr>
          <w:top w:val="nil"/>
          <w:left w:val="nil"/>
          <w:bottom w:val="nil"/>
          <w:right w:val="nil"/>
          <w:between w:val="nil"/>
        </w:pBdr>
        <w:spacing w:before="133" w:after="240"/>
        <w:ind w:right="48"/>
        <w:rPr>
          <w:rFonts w:ascii="Tw Cen MT" w:eastAsia="Twentieth Century" w:hAnsi="Tw Cen MT" w:cs="Twentieth Century"/>
          <w:color w:val="000000"/>
          <w:sz w:val="20"/>
          <w:szCs w:val="20"/>
        </w:rPr>
      </w:pPr>
    </w:p>
    <w:p w14:paraId="00EE7AE1" w14:textId="77777777" w:rsidR="00D23CC1" w:rsidRPr="00C23FDF" w:rsidRDefault="00D23CC1">
      <w:pPr>
        <w:pBdr>
          <w:top w:val="nil"/>
          <w:left w:val="nil"/>
          <w:bottom w:val="nil"/>
          <w:right w:val="nil"/>
          <w:between w:val="nil"/>
        </w:pBdr>
        <w:spacing w:before="133" w:after="240"/>
        <w:ind w:right="48"/>
        <w:rPr>
          <w:rFonts w:ascii="Tw Cen MT" w:eastAsia="Twentieth Century" w:hAnsi="Tw Cen MT" w:cs="Twentieth Century"/>
          <w:color w:val="000000"/>
          <w:sz w:val="20"/>
          <w:szCs w:val="20"/>
        </w:rPr>
      </w:pPr>
    </w:p>
    <w:p w14:paraId="57ECC9BA" w14:textId="77777777" w:rsidR="00D23CC1" w:rsidRPr="00C23FDF" w:rsidRDefault="00D23CC1">
      <w:pPr>
        <w:pBdr>
          <w:top w:val="nil"/>
          <w:left w:val="nil"/>
          <w:bottom w:val="nil"/>
          <w:right w:val="nil"/>
          <w:between w:val="nil"/>
        </w:pBdr>
        <w:spacing w:before="133" w:after="240"/>
        <w:ind w:right="48"/>
        <w:rPr>
          <w:rFonts w:ascii="Tw Cen MT" w:eastAsia="Twentieth Century" w:hAnsi="Tw Cen MT" w:cs="Twentieth Century"/>
          <w:color w:val="000000"/>
          <w:sz w:val="20"/>
          <w:szCs w:val="20"/>
        </w:rPr>
      </w:pPr>
    </w:p>
    <w:p w14:paraId="3203C30F" w14:textId="77777777" w:rsidR="00D23CC1" w:rsidRPr="00C23FDF" w:rsidRDefault="00000000">
      <w:pPr>
        <w:pBdr>
          <w:top w:val="nil"/>
          <w:left w:val="nil"/>
          <w:bottom w:val="nil"/>
          <w:right w:val="nil"/>
          <w:between w:val="nil"/>
        </w:pBdr>
        <w:spacing w:before="133" w:after="240"/>
        <w:ind w:right="48"/>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Contoh gambar yang digabung</w:t>
      </w:r>
    </w:p>
    <w:tbl>
      <w:tblPr>
        <w:tblStyle w:val="a0"/>
        <w:tblW w:w="900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04"/>
      </w:tblGrid>
      <w:tr w:rsidR="00D23CC1" w:rsidRPr="00C23FDF" w14:paraId="327503C0" w14:textId="77777777">
        <w:tc>
          <w:tcPr>
            <w:tcW w:w="9004" w:type="dxa"/>
          </w:tcPr>
          <w:p w14:paraId="555ED743" w14:textId="77777777" w:rsidR="00D23CC1" w:rsidRPr="00C23FDF" w:rsidRDefault="00000000">
            <w:pPr>
              <w:tabs>
                <w:tab w:val="left" w:pos="426"/>
              </w:tabs>
              <w:jc w:val="center"/>
              <w:rPr>
                <w:rFonts w:ascii="Tw Cen MT" w:hAnsi="Tw Cen MT"/>
                <w:b/>
                <w:bCs/>
              </w:rPr>
            </w:pPr>
            <w:r w:rsidRPr="00C23FDF">
              <w:rPr>
                <w:rFonts w:ascii="Tw Cen MT" w:hAnsi="Tw Cen MT"/>
                <w:b/>
                <w:bCs/>
                <w:noProof/>
              </w:rPr>
              <w:drawing>
                <wp:inline distT="0" distB="0" distL="0" distR="0" wp14:anchorId="742FFF56" wp14:editId="70636DCA">
                  <wp:extent cx="3600000" cy="17268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600000" cy="1726875"/>
                          </a:xfrm>
                          <a:prstGeom prst="rect">
                            <a:avLst/>
                          </a:prstGeom>
                          <a:ln/>
                        </pic:spPr>
                      </pic:pic>
                    </a:graphicData>
                  </a:graphic>
                </wp:inline>
              </w:drawing>
            </w:r>
          </w:p>
        </w:tc>
      </w:tr>
      <w:tr w:rsidR="00D23CC1" w:rsidRPr="00C23FDF" w14:paraId="642F1952" w14:textId="77777777">
        <w:tc>
          <w:tcPr>
            <w:tcW w:w="9004" w:type="dxa"/>
          </w:tcPr>
          <w:p w14:paraId="4E1DB17E" w14:textId="77777777" w:rsidR="00D23CC1" w:rsidRPr="00C23FDF" w:rsidRDefault="00000000">
            <w:pPr>
              <w:tabs>
                <w:tab w:val="left" w:pos="426"/>
              </w:tabs>
              <w:jc w:val="center"/>
              <w:rPr>
                <w:rFonts w:ascii="Tw Cen MT" w:eastAsia="Twentieth Century" w:hAnsi="Tw Cen MT" w:cs="Twentieth Century"/>
                <w:sz w:val="20"/>
                <w:szCs w:val="20"/>
              </w:rPr>
            </w:pPr>
            <w:r w:rsidRPr="00C23FDF">
              <w:rPr>
                <w:rFonts w:ascii="Tw Cen MT" w:eastAsia="Twentieth Century" w:hAnsi="Tw Cen MT" w:cs="Twentieth Century"/>
                <w:sz w:val="20"/>
                <w:szCs w:val="20"/>
              </w:rPr>
              <w:t>(a)</w:t>
            </w:r>
          </w:p>
        </w:tc>
      </w:tr>
      <w:tr w:rsidR="00D23CC1" w:rsidRPr="00C23FDF" w14:paraId="459776C3" w14:textId="77777777">
        <w:tc>
          <w:tcPr>
            <w:tcW w:w="9004" w:type="dxa"/>
          </w:tcPr>
          <w:p w14:paraId="7DEB43DD" w14:textId="77777777" w:rsidR="00D23CC1" w:rsidRPr="00C23FDF" w:rsidRDefault="00000000">
            <w:pPr>
              <w:tabs>
                <w:tab w:val="left" w:pos="426"/>
              </w:tabs>
              <w:jc w:val="center"/>
              <w:rPr>
                <w:rFonts w:ascii="Tw Cen MT" w:hAnsi="Tw Cen MT"/>
                <w:b/>
                <w:bCs/>
              </w:rPr>
            </w:pPr>
            <w:r w:rsidRPr="00C23FDF">
              <w:rPr>
                <w:rFonts w:ascii="Tw Cen MT" w:hAnsi="Tw Cen MT"/>
                <w:noProof/>
              </w:rPr>
              <w:drawing>
                <wp:inline distT="0" distB="0" distL="0" distR="0" wp14:anchorId="3177DFC9" wp14:editId="5ED0F02B">
                  <wp:extent cx="3611596" cy="1716261"/>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l="4219" r="1386"/>
                          <a:stretch>
                            <a:fillRect/>
                          </a:stretch>
                        </pic:blipFill>
                        <pic:spPr>
                          <a:xfrm>
                            <a:off x="0" y="0"/>
                            <a:ext cx="3611596" cy="1716261"/>
                          </a:xfrm>
                          <a:prstGeom prst="rect">
                            <a:avLst/>
                          </a:prstGeom>
                          <a:ln/>
                        </pic:spPr>
                      </pic:pic>
                    </a:graphicData>
                  </a:graphic>
                </wp:inline>
              </w:drawing>
            </w:r>
          </w:p>
        </w:tc>
      </w:tr>
      <w:tr w:rsidR="00D23CC1" w:rsidRPr="00C23FDF" w14:paraId="376D1D29" w14:textId="77777777">
        <w:tc>
          <w:tcPr>
            <w:tcW w:w="9004" w:type="dxa"/>
          </w:tcPr>
          <w:p w14:paraId="5EB3EBE2" w14:textId="77777777" w:rsidR="00D23CC1" w:rsidRPr="00C23FDF" w:rsidRDefault="00000000">
            <w:pPr>
              <w:tabs>
                <w:tab w:val="left" w:pos="426"/>
              </w:tabs>
              <w:jc w:val="center"/>
              <w:rPr>
                <w:rFonts w:ascii="Tw Cen MT" w:eastAsia="Twentieth Century" w:hAnsi="Tw Cen MT" w:cs="Twentieth Century"/>
                <w:sz w:val="20"/>
                <w:szCs w:val="20"/>
              </w:rPr>
            </w:pPr>
            <w:r w:rsidRPr="00C23FDF">
              <w:rPr>
                <w:rFonts w:ascii="Tw Cen MT" w:eastAsia="Twentieth Century" w:hAnsi="Tw Cen MT" w:cs="Twentieth Century"/>
                <w:sz w:val="20"/>
                <w:szCs w:val="20"/>
              </w:rPr>
              <w:t>(b)</w:t>
            </w:r>
          </w:p>
        </w:tc>
      </w:tr>
    </w:tbl>
    <w:p w14:paraId="7004827C" w14:textId="77777777" w:rsidR="00D23CC1" w:rsidRPr="00C23FDF" w:rsidRDefault="00D23CC1">
      <w:pPr>
        <w:pBdr>
          <w:top w:val="nil"/>
          <w:left w:val="nil"/>
          <w:bottom w:val="nil"/>
          <w:right w:val="nil"/>
          <w:between w:val="nil"/>
        </w:pBdr>
        <w:spacing w:before="133" w:after="240"/>
        <w:ind w:right="48"/>
        <w:rPr>
          <w:rFonts w:ascii="Tw Cen MT" w:eastAsia="Twentieth Century" w:hAnsi="Tw Cen MT" w:cs="Twentieth Century"/>
          <w:color w:val="000000"/>
          <w:sz w:val="20"/>
          <w:szCs w:val="20"/>
        </w:rPr>
      </w:pPr>
    </w:p>
    <w:p w14:paraId="780ED205" w14:textId="77777777" w:rsidR="00D23CC1" w:rsidRPr="00C23FDF" w:rsidRDefault="00000000">
      <w:pPr>
        <w:pBdr>
          <w:top w:val="nil"/>
          <w:left w:val="nil"/>
          <w:bottom w:val="nil"/>
          <w:right w:val="nil"/>
          <w:between w:val="nil"/>
        </w:pBdr>
        <w:spacing w:before="133" w:after="240"/>
        <w:ind w:right="48"/>
        <w:jc w:val="center"/>
        <w:rPr>
          <w:rFonts w:ascii="Tw Cen MT" w:eastAsia="Twentieth Century" w:hAnsi="Tw Cen MT" w:cs="Twentieth Century"/>
          <w:color w:val="000000"/>
          <w:sz w:val="18"/>
          <w:szCs w:val="18"/>
        </w:rPr>
      </w:pPr>
      <w:r w:rsidRPr="00C23FDF">
        <w:rPr>
          <w:rFonts w:ascii="Tw Cen MT" w:eastAsia="Twentieth Century" w:hAnsi="Tw Cen MT" w:cs="Twentieth Century"/>
          <w:color w:val="000000"/>
          <w:sz w:val="18"/>
          <w:szCs w:val="18"/>
        </w:rPr>
        <w:t>Gambar 2. Example Effects of electrical discharges to (a) acidity of HVNE and NELV and (b) breakdown voltage of NE and NELV samples (9 pt)</w:t>
      </w:r>
    </w:p>
    <w:p w14:paraId="6B9BF722" w14:textId="77777777" w:rsidR="00D23CC1" w:rsidRPr="00C23FDF" w:rsidRDefault="00000000">
      <w:pPr>
        <w:pStyle w:val="Heading1"/>
        <w:numPr>
          <w:ilvl w:val="0"/>
          <w:numId w:val="1"/>
        </w:numPr>
        <w:spacing w:before="0"/>
        <w:rPr>
          <w:rFonts w:ascii="Tw Cen MT" w:eastAsia="Twentieth Century" w:hAnsi="Tw Cen MT" w:cs="Twentieth Century"/>
          <w:b/>
          <w:bCs/>
          <w:color w:val="000000"/>
          <w:sz w:val="28"/>
          <w:szCs w:val="28"/>
        </w:rPr>
      </w:pPr>
      <w:r w:rsidRPr="00C23FDF">
        <w:rPr>
          <w:rFonts w:ascii="Tw Cen MT" w:eastAsia="Twentieth Century" w:hAnsi="Tw Cen MT" w:cs="Twentieth Century"/>
          <w:b/>
          <w:bCs/>
          <w:color w:val="000000"/>
          <w:sz w:val="28"/>
          <w:szCs w:val="28"/>
        </w:rPr>
        <w:t>Hasil dan Pembahasan (14 pt)</w:t>
      </w:r>
    </w:p>
    <w:p w14:paraId="5964D427" w14:textId="77777777" w:rsidR="00D23CC1" w:rsidRPr="00C23FDF" w:rsidRDefault="00000000">
      <w:pPr>
        <w:pBdr>
          <w:top w:val="nil"/>
          <w:left w:val="nil"/>
          <w:bottom w:val="nil"/>
          <w:right w:val="nil"/>
          <w:between w:val="nil"/>
        </w:pBdr>
        <w:spacing w:before="133"/>
        <w:ind w:right="48"/>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Pada bagian ini dijelaskan hasil penelitian sekaligus disertai dengan pembahasan yang komprehensif. Hasil dapat disajikan dalam bentuk gambar, grafik, tabel, dan bentuk lainnya yang memudahkan pembaca untuk memahami [14], [15]. Pembahasan dapat disusun dalam beberapa subbagian. </w:t>
      </w:r>
    </w:p>
    <w:p w14:paraId="0C2BBF4D" w14:textId="77777777" w:rsidR="00D23CC1" w:rsidRPr="00C23FDF" w:rsidRDefault="00000000">
      <w:pPr>
        <w:pStyle w:val="Heading2"/>
        <w:numPr>
          <w:ilvl w:val="1"/>
          <w:numId w:val="1"/>
        </w:numPr>
        <w:ind w:left="567" w:hanging="573"/>
        <w:rPr>
          <w:rFonts w:ascii="Tw Cen MT" w:eastAsia="Twentieth Century" w:hAnsi="Tw Cen MT" w:cs="Twentieth Century"/>
          <w:b/>
          <w:bCs/>
          <w:color w:val="000000"/>
          <w:sz w:val="24"/>
          <w:szCs w:val="24"/>
        </w:rPr>
      </w:pPr>
      <w:r w:rsidRPr="00C23FDF">
        <w:rPr>
          <w:rFonts w:ascii="Tw Cen MT" w:eastAsia="Twentieth Century" w:hAnsi="Tw Cen MT" w:cs="Twentieth Century"/>
          <w:b/>
          <w:bCs/>
          <w:color w:val="000000"/>
          <w:sz w:val="24"/>
          <w:szCs w:val="24"/>
        </w:rPr>
        <w:t>Persamaan (12 pt)</w:t>
      </w:r>
    </w:p>
    <w:p w14:paraId="0556AC5E" w14:textId="77777777" w:rsidR="00D23CC1" w:rsidRPr="00C23FDF" w:rsidRDefault="00000000">
      <w:pPr>
        <w:pBdr>
          <w:top w:val="nil"/>
          <w:left w:val="nil"/>
          <w:bottom w:val="nil"/>
          <w:right w:val="nil"/>
          <w:between w:val="nil"/>
        </w:pBdr>
        <w:spacing w:before="133"/>
        <w:ind w:right="48"/>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Persamaan harus diletakkan di tengah baris dan diberi nomor urut dalam tanda kurung yang diratakan ke margin kanan, seperti pada (1). Disarankan untuk menggunakan Microsoft Equation Editor atau MathType. </w:t>
      </w:r>
    </w:p>
    <w:p w14:paraId="691F38E2" w14:textId="77777777" w:rsidR="00D23CC1" w:rsidRPr="00C23FDF" w:rsidRDefault="00D23CC1">
      <w:pPr>
        <w:pBdr>
          <w:top w:val="nil"/>
          <w:left w:val="nil"/>
          <w:bottom w:val="nil"/>
          <w:right w:val="nil"/>
          <w:between w:val="nil"/>
        </w:pBdr>
        <w:spacing w:before="133"/>
        <w:ind w:right="48"/>
        <w:jc w:val="both"/>
        <w:rPr>
          <w:rFonts w:ascii="Tw Cen MT" w:eastAsia="Twentieth Century" w:hAnsi="Tw Cen MT" w:cs="Twentieth Century"/>
          <w:color w:val="000000"/>
          <w:sz w:val="20"/>
          <w:szCs w:val="20"/>
        </w:rPr>
      </w:pPr>
    </w:p>
    <w:p w14:paraId="6DD632C8" w14:textId="77777777" w:rsidR="00D23CC1" w:rsidRPr="00C23FDF" w:rsidRDefault="00000000">
      <w:pPr>
        <w:tabs>
          <w:tab w:val="right" w:pos="8505"/>
        </w:tabs>
        <w:ind w:firstLine="709"/>
        <w:rPr>
          <w:rFonts w:ascii="Tw Cen MT" w:hAnsi="Tw Cen MT"/>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v</m:t>
            </m:r>
          </m:sub>
        </m:sSub>
        <m:r>
          <w:rPr>
            <w:rFonts w:ascii="Cambria Math" w:eastAsia="Cambria Math" w:hAnsi="Cambria Math" w:cs="Cambria Math"/>
            <w:sz w:val="24"/>
            <w:szCs w:val="24"/>
          </w:rPr>
          <m:t>-E=</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2.m</m:t>
            </m:r>
          </m:den>
        </m:f>
        <m:r>
          <w:rPr>
            <w:rFonts w:ascii="Cambria Math" w:eastAsia="Cambria Math" w:hAnsi="Cambria Math" w:cs="Cambria Math"/>
            <w:sz w:val="24"/>
            <w:szCs w:val="24"/>
          </w:rPr>
          <m:t xml:space="preserve">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k</m:t>
            </m:r>
          </m:e>
          <m:sub>
            <m:r>
              <w:rPr>
                <w:rFonts w:ascii="Cambria Math" w:eastAsia="Cambria Math" w:hAnsi="Cambria Math" w:cs="Cambria Math"/>
                <w:sz w:val="24"/>
                <w:szCs w:val="24"/>
              </w:rPr>
              <m:t>x</m:t>
            </m:r>
          </m:sub>
          <m:sup>
            <m:r>
              <w:rPr>
                <w:rFonts w:ascii="Cambria Math" w:eastAsia="Cambria Math" w:hAnsi="Cambria Math" w:cs="Cambria Math"/>
                <w:sz w:val="24"/>
                <w:szCs w:val="24"/>
              </w:rPr>
              <m:t>2</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k</m:t>
            </m:r>
          </m:e>
          <m:sub>
            <m:r>
              <w:rPr>
                <w:rFonts w:ascii="Cambria Math" w:eastAsia="Cambria Math" w:hAnsi="Cambria Math" w:cs="Cambria Math"/>
                <w:sz w:val="24"/>
                <w:szCs w:val="24"/>
              </w:rPr>
              <m:t>y</m:t>
            </m:r>
          </m:sub>
          <m:sup>
            <m:r>
              <w:rPr>
                <w:rFonts w:ascii="Cambria Math" w:eastAsia="Cambria Math" w:hAnsi="Cambria Math" w:cs="Cambria Math"/>
                <w:sz w:val="24"/>
                <w:szCs w:val="24"/>
              </w:rPr>
              <m:t>2</m:t>
            </m:r>
          </m:sup>
        </m:sSubSup>
      </m:oMath>
      <w:r w:rsidRPr="00C23FDF">
        <w:rPr>
          <w:rFonts w:ascii="Tw Cen MT" w:eastAsia="Twentieth Century" w:hAnsi="Tw Cen MT" w:cs="Twentieth Century"/>
          <w:sz w:val="24"/>
          <w:szCs w:val="24"/>
        </w:rPr>
        <w:t>)</w:t>
      </w:r>
      <w:r w:rsidRPr="00C23FDF">
        <w:rPr>
          <w:rFonts w:ascii="Tw Cen MT" w:hAnsi="Tw Cen MT"/>
        </w:rPr>
        <w:tab/>
      </w:r>
      <w:r w:rsidRPr="00C23FDF">
        <w:rPr>
          <w:rFonts w:ascii="Tw Cen MT" w:eastAsia="Twentieth Century" w:hAnsi="Tw Cen MT" w:cs="Twentieth Century"/>
          <w:sz w:val="20"/>
          <w:szCs w:val="20"/>
        </w:rPr>
        <w:t>(1)</w:t>
      </w:r>
    </w:p>
    <w:p w14:paraId="4D670616" w14:textId="77777777" w:rsidR="00D23CC1" w:rsidRPr="00C23FDF" w:rsidRDefault="00D23CC1">
      <w:pPr>
        <w:pBdr>
          <w:top w:val="nil"/>
          <w:left w:val="nil"/>
          <w:bottom w:val="nil"/>
          <w:right w:val="nil"/>
          <w:between w:val="nil"/>
        </w:pBdr>
        <w:spacing w:before="133"/>
        <w:ind w:right="48"/>
        <w:jc w:val="both"/>
        <w:rPr>
          <w:rFonts w:ascii="Tw Cen MT" w:eastAsia="Twentieth Century" w:hAnsi="Tw Cen MT" w:cs="Twentieth Century"/>
          <w:color w:val="000000"/>
          <w:sz w:val="20"/>
          <w:szCs w:val="20"/>
        </w:rPr>
      </w:pPr>
    </w:p>
    <w:p w14:paraId="04615555" w14:textId="77777777" w:rsidR="00D23CC1" w:rsidRPr="00C23FDF" w:rsidRDefault="00000000">
      <w:pPr>
        <w:pBdr>
          <w:top w:val="nil"/>
          <w:left w:val="nil"/>
          <w:bottom w:val="nil"/>
          <w:right w:val="nil"/>
          <w:between w:val="nil"/>
        </w:pBdr>
        <w:spacing w:before="133"/>
        <w:ind w:right="48"/>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Semua simbol yang digunakan dalam persamaan harus didefinisikan pada teks setelahnya.</w:t>
      </w:r>
    </w:p>
    <w:p w14:paraId="25136177" w14:textId="77777777" w:rsidR="00D23CC1" w:rsidRPr="00C23FDF" w:rsidRDefault="00000000">
      <w:pPr>
        <w:pStyle w:val="Heading2"/>
        <w:numPr>
          <w:ilvl w:val="1"/>
          <w:numId w:val="1"/>
        </w:numPr>
        <w:ind w:left="567" w:hanging="573"/>
        <w:rPr>
          <w:rFonts w:ascii="Tw Cen MT" w:eastAsia="Twentieth Century" w:hAnsi="Tw Cen MT" w:cs="Twentieth Century"/>
          <w:b/>
          <w:bCs/>
          <w:color w:val="000000"/>
          <w:sz w:val="24"/>
          <w:szCs w:val="24"/>
        </w:rPr>
      </w:pPr>
      <w:r w:rsidRPr="00C23FDF">
        <w:rPr>
          <w:rFonts w:ascii="Tw Cen MT" w:eastAsia="Twentieth Century" w:hAnsi="Tw Cen MT" w:cs="Twentieth Century"/>
          <w:b/>
          <w:bCs/>
          <w:color w:val="000000"/>
          <w:sz w:val="24"/>
          <w:szCs w:val="24"/>
        </w:rPr>
        <w:lastRenderedPageBreak/>
        <w:t>Algoritma atau Pseudocode (12 pt)</w:t>
      </w:r>
    </w:p>
    <w:p w14:paraId="738EE5EC" w14:textId="77777777" w:rsidR="00D23CC1" w:rsidRPr="00C23FDF" w:rsidRDefault="00000000">
      <w:pPr>
        <w:spacing w:after="240"/>
        <w:rPr>
          <w:rFonts w:ascii="Tw Cen MT" w:eastAsia="Twentieth Century" w:hAnsi="Tw Cen MT" w:cs="Twentieth Century"/>
          <w:sz w:val="20"/>
          <w:szCs w:val="20"/>
        </w:rPr>
      </w:pPr>
      <w:r w:rsidRPr="00C23FDF">
        <w:rPr>
          <w:rFonts w:ascii="Tw Cen MT" w:eastAsia="Twentieth Century" w:hAnsi="Tw Cen MT" w:cs="Twentieth Century"/>
          <w:sz w:val="20"/>
          <w:szCs w:val="20"/>
        </w:rPr>
        <w:t xml:space="preserve">Algoritma atau pseudocode ditulis menggunakan font Consolas dengan ukuran 9 pt dan perataan teks kiri. Nama algoritma harus disebutkan dengan jelas. Deskripsi algoritma juga harus dicantumkan sesuai kebutuhan di dalam tabel. Lihat contoh di bawah ini. </w:t>
      </w:r>
    </w:p>
    <w:p w14:paraId="4C178AD1" w14:textId="77777777" w:rsidR="00D23CC1" w:rsidRPr="00C23FDF" w:rsidRDefault="00000000">
      <w:pPr>
        <w:ind w:right="48"/>
        <w:rPr>
          <w:rFonts w:ascii="Tw Cen MT" w:eastAsia="Twentieth Century" w:hAnsi="Tw Cen MT" w:cs="Twentieth Century"/>
          <w:i/>
          <w:iCs/>
          <w:sz w:val="20"/>
          <w:szCs w:val="20"/>
        </w:rPr>
      </w:pPr>
      <w:r w:rsidRPr="00C23FDF">
        <w:rPr>
          <w:rFonts w:ascii="Tw Cen MT" w:eastAsia="Twentieth Century" w:hAnsi="Tw Cen MT" w:cs="Twentieth Century"/>
          <w:i/>
          <w:iCs/>
          <w:sz w:val="20"/>
          <w:szCs w:val="20"/>
        </w:rPr>
        <w:t>Algoritma 1 Greedy search algorithm (10 pt)</w:t>
      </w:r>
    </w:p>
    <w:tbl>
      <w:tblPr>
        <w:tblStyle w:val="a1"/>
        <w:tblW w:w="9071" w:type="dxa"/>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9071"/>
      </w:tblGrid>
      <w:tr w:rsidR="00D23CC1" w:rsidRPr="00C23FDF" w14:paraId="0596EE5E" w14:textId="77777777">
        <w:tc>
          <w:tcPr>
            <w:tcW w:w="9071" w:type="dxa"/>
          </w:tcPr>
          <w:p w14:paraId="3E3545F9" w14:textId="77777777" w:rsidR="00D23CC1" w:rsidRPr="00C23FDF" w:rsidRDefault="00000000">
            <w:pPr>
              <w:spacing w:line="206" w:lineRule="auto"/>
              <w:ind w:right="48"/>
              <w:rPr>
                <w:rFonts w:ascii="Tw Cen MT" w:eastAsia="Consolas" w:hAnsi="Tw Cen MT" w:cs="Consolas"/>
                <w:sz w:val="16"/>
                <w:szCs w:val="16"/>
              </w:rPr>
            </w:pPr>
            <w:r w:rsidRPr="00C23FDF">
              <w:rPr>
                <w:rFonts w:ascii="Tw Cen MT" w:eastAsia="Consolas" w:hAnsi="Tw Cen MT" w:cs="Consolas"/>
                <w:b/>
                <w:bCs/>
                <w:sz w:val="16"/>
                <w:szCs w:val="16"/>
              </w:rPr>
              <w:t xml:space="preserve">Require: </w:t>
            </w:r>
            <w:r w:rsidRPr="00C23FDF">
              <w:rPr>
                <w:rFonts w:ascii="Tw Cen MT" w:eastAsia="Consolas" w:hAnsi="Tw Cen MT" w:cs="Consolas"/>
                <w:sz w:val="16"/>
                <w:szCs w:val="16"/>
              </w:rPr>
              <w:t>A The algorithm takes as input a graph G(V,E), where V is the set of vertices and E is the set of edges. It also requires a start node s, a goal node g, and a heuristic function h(n) that estimates the cost from any node n to the goal. The output is a path from the start node s to the goal node g, if such a path exists.</w:t>
            </w:r>
          </w:p>
          <w:p w14:paraId="1CCA3754" w14:textId="77777777" w:rsidR="00D23CC1" w:rsidRPr="00C23FDF" w:rsidRDefault="00D23CC1">
            <w:pPr>
              <w:spacing w:line="206" w:lineRule="auto"/>
              <w:ind w:right="48"/>
              <w:rPr>
                <w:rFonts w:ascii="Tw Cen MT" w:eastAsia="Consolas" w:hAnsi="Tw Cen MT" w:cs="Consolas"/>
                <w:sz w:val="16"/>
                <w:szCs w:val="16"/>
              </w:rPr>
            </w:pPr>
          </w:p>
          <w:p w14:paraId="14B94B23"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 xml:space="preserve">1.  Initialize open_list &lt;- [s] </w:t>
            </w:r>
          </w:p>
          <w:p w14:paraId="23844B58"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2.  Intialize came_from &lt;- empty map</w:t>
            </w:r>
          </w:p>
          <w:p w14:paraId="254B2957"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3.  while open_list is not empty do</w:t>
            </w:r>
          </w:p>
          <w:p w14:paraId="4F7DB530"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4.        current &lt;- node in open_list with lowest h(current)</w:t>
            </w:r>
          </w:p>
          <w:p w14:paraId="249CD053"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5.        if current = g then</w:t>
            </w:r>
          </w:p>
          <w:p w14:paraId="2EF0CA7C"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6.              return ReconstructPath (came_from, current)</w:t>
            </w:r>
          </w:p>
          <w:p w14:paraId="6694B1B7"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7.         remove current from open_list</w:t>
            </w:r>
          </w:p>
          <w:p w14:paraId="71729BEF"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8.         for each neighbor in Neighbors(current) do</w:t>
            </w:r>
          </w:p>
          <w:p w14:paraId="54D51396"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9.                 if neighbor not in came_from then</w:t>
            </w:r>
          </w:p>
          <w:p w14:paraId="0D5D53C3"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10.                         came_from[neighbor] &lt;- current</w:t>
            </w:r>
          </w:p>
          <w:p w14:paraId="50631364" w14:textId="77777777" w:rsidR="00D23CC1" w:rsidRPr="00C23FDF" w:rsidRDefault="00000000">
            <w:pPr>
              <w:spacing w:line="206" w:lineRule="auto"/>
              <w:ind w:right="48"/>
              <w:jc w:val="both"/>
              <w:rPr>
                <w:rFonts w:ascii="Tw Cen MT" w:eastAsia="Consolas" w:hAnsi="Tw Cen MT" w:cs="Consolas"/>
                <w:sz w:val="16"/>
                <w:szCs w:val="16"/>
              </w:rPr>
            </w:pPr>
            <w:r w:rsidRPr="00C23FDF">
              <w:rPr>
                <w:rFonts w:ascii="Tw Cen MT" w:eastAsia="Consolas" w:hAnsi="Tw Cen MT" w:cs="Consolas"/>
                <w:sz w:val="16"/>
                <w:szCs w:val="16"/>
              </w:rPr>
              <w:t>11.                         Add neighbor to open_list</w:t>
            </w:r>
          </w:p>
          <w:p w14:paraId="03EBBBF9" w14:textId="77777777" w:rsidR="00D23CC1" w:rsidRPr="00C23FDF" w:rsidRDefault="00000000">
            <w:pPr>
              <w:spacing w:line="206" w:lineRule="auto"/>
              <w:ind w:right="48"/>
              <w:jc w:val="both"/>
              <w:rPr>
                <w:rFonts w:ascii="Tw Cen MT" w:eastAsia="Twentieth Century" w:hAnsi="Tw Cen MT" w:cs="Twentieth Century"/>
                <w:sz w:val="16"/>
                <w:szCs w:val="16"/>
              </w:rPr>
            </w:pPr>
            <w:r w:rsidRPr="00C23FDF">
              <w:rPr>
                <w:rFonts w:ascii="Tw Cen MT" w:eastAsia="Consolas" w:hAnsi="Tw Cen MT" w:cs="Consolas"/>
                <w:sz w:val="16"/>
                <w:szCs w:val="16"/>
              </w:rPr>
              <w:t>12. return failure</w:t>
            </w:r>
          </w:p>
        </w:tc>
      </w:tr>
      <w:tr w:rsidR="00D23CC1" w:rsidRPr="00C23FDF" w14:paraId="4F3D8232" w14:textId="77777777">
        <w:tc>
          <w:tcPr>
            <w:tcW w:w="9071" w:type="dxa"/>
          </w:tcPr>
          <w:p w14:paraId="0A433463" w14:textId="77777777" w:rsidR="00D23CC1" w:rsidRPr="00C23FDF" w:rsidRDefault="00D23CC1">
            <w:pPr>
              <w:spacing w:line="206" w:lineRule="auto"/>
              <w:ind w:right="48"/>
              <w:rPr>
                <w:rFonts w:ascii="Tw Cen MT" w:eastAsia="Twentieth Century" w:hAnsi="Tw Cen MT" w:cs="Twentieth Century"/>
                <w:b/>
                <w:bCs/>
                <w:sz w:val="16"/>
                <w:szCs w:val="16"/>
              </w:rPr>
            </w:pPr>
          </w:p>
        </w:tc>
      </w:tr>
    </w:tbl>
    <w:p w14:paraId="05B895E7" w14:textId="77777777" w:rsidR="00D23CC1" w:rsidRPr="00C23FDF" w:rsidRDefault="00D23CC1">
      <w:pPr>
        <w:rPr>
          <w:rFonts w:ascii="Tw Cen MT" w:hAnsi="Tw Cen MT"/>
        </w:rPr>
      </w:pPr>
    </w:p>
    <w:p w14:paraId="155B7B50" w14:textId="77777777" w:rsidR="00D23CC1" w:rsidRPr="00C23FDF" w:rsidRDefault="00000000">
      <w:pPr>
        <w:pStyle w:val="Heading2"/>
        <w:numPr>
          <w:ilvl w:val="1"/>
          <w:numId w:val="1"/>
        </w:numPr>
        <w:ind w:left="567" w:hanging="573"/>
        <w:rPr>
          <w:rFonts w:ascii="Tw Cen MT" w:eastAsia="Twentieth Century" w:hAnsi="Tw Cen MT" w:cs="Twentieth Century"/>
          <w:b/>
          <w:bCs/>
          <w:color w:val="000000"/>
          <w:sz w:val="24"/>
          <w:szCs w:val="24"/>
        </w:rPr>
      </w:pPr>
      <w:r w:rsidRPr="00C23FDF">
        <w:rPr>
          <w:rFonts w:ascii="Tw Cen MT" w:eastAsia="Twentieth Century" w:hAnsi="Tw Cen MT" w:cs="Twentieth Century"/>
          <w:b/>
          <w:bCs/>
          <w:color w:val="000000"/>
          <w:sz w:val="24"/>
          <w:szCs w:val="24"/>
        </w:rPr>
        <w:t>Sitasi (12 pt)</w:t>
      </w:r>
    </w:p>
    <w:p w14:paraId="71966EF9" w14:textId="77777777" w:rsidR="00D23CC1" w:rsidRPr="00C23FDF" w:rsidRDefault="00000000">
      <w:pPr>
        <w:spacing w:after="240"/>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Sitasi yang tepat terhadap karya orang lain harus dilakukan untuk menghindari plagiarisme. Saat merujuk pada item referensi, gunakan nomor referensi seperti dalam [16] atau [17] untuk beberapa referensi. Penggunaan "Ref [18] ..." digunakan apabila sitasi ditempatkan di awal kalimat. Untuk referensi dengan tiga atau lebih penulis, hanya penulis pertama yang dituliskan diikuti dengan et al. (misalnya dalam [19]). Contoh item referensi dari berbagai kategori ditunjukkan pada bagian Daftar Pustaka. Setiap item dalam daftar pustaka harus diketik dengan ukuran font 8 pt [20]–[25].</w:t>
      </w:r>
    </w:p>
    <w:p w14:paraId="332C282A" w14:textId="77777777" w:rsidR="00D23CC1" w:rsidRPr="00C23FDF" w:rsidRDefault="00000000">
      <w:pPr>
        <w:pStyle w:val="Heading2"/>
        <w:numPr>
          <w:ilvl w:val="2"/>
          <w:numId w:val="1"/>
        </w:numPr>
        <w:ind w:left="567" w:hanging="567"/>
        <w:rPr>
          <w:rFonts w:ascii="Tw Cen MT" w:eastAsia="Twentieth Century" w:hAnsi="Tw Cen MT" w:cs="Twentieth Century"/>
          <w:b/>
          <w:bCs/>
          <w:color w:val="000000"/>
          <w:sz w:val="20"/>
          <w:szCs w:val="20"/>
        </w:rPr>
      </w:pPr>
      <w:r w:rsidRPr="00C23FDF">
        <w:rPr>
          <w:rFonts w:ascii="Tw Cen MT" w:eastAsia="Twentieth Century" w:hAnsi="Tw Cen MT" w:cs="Twentieth Century"/>
          <w:b/>
          <w:bCs/>
          <w:color w:val="000000"/>
          <w:sz w:val="20"/>
          <w:szCs w:val="20"/>
        </w:rPr>
        <w:t>Subbagian Level 3 (10 pt)</w:t>
      </w:r>
    </w:p>
    <w:p w14:paraId="400DA7B4" w14:textId="77777777" w:rsidR="00D23CC1" w:rsidRPr="00C23FDF" w:rsidRDefault="00000000">
      <w:pPr>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Lorem Ipsum is simply dummy text of the printing and typesetting industry. Lorem Ipsum has been the industry's standard dummy text ever since the 1500s, when an unknown printer took a galley of type and scrambled it to make a type specimen book.</w:t>
      </w:r>
    </w:p>
    <w:p w14:paraId="66E77310" w14:textId="77777777" w:rsidR="00D23CC1" w:rsidRPr="00C23FDF" w:rsidRDefault="00000000">
      <w:pPr>
        <w:pStyle w:val="Heading2"/>
        <w:numPr>
          <w:ilvl w:val="2"/>
          <w:numId w:val="1"/>
        </w:numPr>
        <w:ind w:left="567" w:hanging="567"/>
        <w:rPr>
          <w:rFonts w:ascii="Tw Cen MT" w:eastAsia="Twentieth Century" w:hAnsi="Tw Cen MT" w:cs="Twentieth Century"/>
          <w:b/>
          <w:bCs/>
          <w:color w:val="000000"/>
          <w:sz w:val="20"/>
          <w:szCs w:val="20"/>
        </w:rPr>
      </w:pPr>
      <w:r w:rsidRPr="00C23FDF">
        <w:rPr>
          <w:rFonts w:ascii="Tw Cen MT" w:eastAsia="Twentieth Century" w:hAnsi="Tw Cen MT" w:cs="Twentieth Century"/>
          <w:b/>
          <w:bCs/>
          <w:color w:val="000000"/>
          <w:sz w:val="20"/>
          <w:szCs w:val="20"/>
        </w:rPr>
        <w:t>Subbagian Level 3  (10 pt)</w:t>
      </w:r>
    </w:p>
    <w:p w14:paraId="58362260" w14:textId="77777777" w:rsidR="00D23CC1" w:rsidRPr="00C23FDF" w:rsidRDefault="00000000">
      <w:pPr>
        <w:spacing w:after="240"/>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Lorem Ipsum is simply dummy text of the printing and typesetting industry. Lorem Ipsum has been the industry's standard dummy text ever since the 1500s, when an unknown printer took a galley of type and scrambled it to make a type specimen book.</w:t>
      </w:r>
    </w:p>
    <w:p w14:paraId="2FD1967E" w14:textId="77777777" w:rsidR="00D23CC1" w:rsidRPr="00C23FDF" w:rsidRDefault="00000000">
      <w:pPr>
        <w:pStyle w:val="Heading1"/>
        <w:numPr>
          <w:ilvl w:val="0"/>
          <w:numId w:val="1"/>
        </w:numPr>
        <w:spacing w:before="0"/>
        <w:rPr>
          <w:rFonts w:ascii="Tw Cen MT" w:eastAsia="Twentieth Century" w:hAnsi="Tw Cen MT" w:cs="Twentieth Century"/>
          <w:b/>
          <w:bCs/>
          <w:color w:val="000000"/>
          <w:sz w:val="28"/>
          <w:szCs w:val="28"/>
        </w:rPr>
      </w:pPr>
      <w:r w:rsidRPr="00C23FDF">
        <w:rPr>
          <w:rFonts w:ascii="Tw Cen MT" w:eastAsia="Twentieth Century" w:hAnsi="Tw Cen MT" w:cs="Twentieth Century"/>
          <w:b/>
          <w:bCs/>
          <w:color w:val="000000"/>
          <w:sz w:val="28"/>
          <w:szCs w:val="28"/>
        </w:rPr>
        <w:t>Kesimpulan (14 pt)</w:t>
      </w:r>
    </w:p>
    <w:p w14:paraId="16871C8B" w14:textId="77777777" w:rsidR="00D23CC1" w:rsidRPr="00C23FDF" w:rsidRDefault="00000000">
      <w:pPr>
        <w:spacing w:after="240"/>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Berikan pernyataan bahwa apa yang diharapkan sebagaimana dijelaskan dalam bagian "PENDAHULUAN" pada akhirnya dapat tercapai dalam bagian "HASIL DAN PEMBAHASAN", sehingga terdapat kesesuaian antara tujuan dan hasil penelitian. Selain itu, prospek pengembangan hasil penelitian dan penerapan studi lanjutan juga dapat ditambahkan pada bagian ini, berdasarkan hasil dan pembahasan yang telah diperoleh.</w:t>
      </w:r>
    </w:p>
    <w:p w14:paraId="585EBFE2" w14:textId="77777777" w:rsidR="00D23CC1" w:rsidRPr="00C23FDF" w:rsidRDefault="00000000">
      <w:pPr>
        <w:pStyle w:val="Heading1"/>
        <w:spacing w:before="0"/>
        <w:rPr>
          <w:rFonts w:ascii="Tw Cen MT" w:eastAsia="Twentieth Century" w:hAnsi="Tw Cen MT" w:cs="Twentieth Century"/>
          <w:b/>
          <w:bCs/>
          <w:color w:val="000000"/>
          <w:sz w:val="24"/>
          <w:szCs w:val="24"/>
        </w:rPr>
      </w:pPr>
      <w:r w:rsidRPr="00C23FDF">
        <w:rPr>
          <w:rFonts w:ascii="Tw Cen MT" w:eastAsia="Twentieth Century" w:hAnsi="Tw Cen MT" w:cs="Twentieth Century"/>
          <w:b/>
          <w:bCs/>
          <w:color w:val="000000"/>
          <w:sz w:val="24"/>
          <w:szCs w:val="24"/>
        </w:rPr>
        <w:t>Ucapan Terima Kasih (</w:t>
      </w:r>
      <w:r w:rsidRPr="00C23FDF">
        <w:rPr>
          <w:rFonts w:ascii="Tw Cen MT" w:eastAsia="Twentieth Century" w:hAnsi="Tw Cen MT" w:cs="Twentieth Century"/>
          <w:i/>
          <w:iCs/>
          <w:color w:val="000000"/>
          <w:sz w:val="24"/>
          <w:szCs w:val="24"/>
        </w:rPr>
        <w:t>bila ada</w:t>
      </w:r>
      <w:r w:rsidRPr="00C23FDF">
        <w:rPr>
          <w:rFonts w:ascii="Tw Cen MT" w:eastAsia="Twentieth Century" w:hAnsi="Tw Cen MT" w:cs="Twentieth Century"/>
          <w:b/>
          <w:bCs/>
          <w:color w:val="000000"/>
          <w:sz w:val="24"/>
          <w:szCs w:val="24"/>
        </w:rPr>
        <w:t>) (12 pt)</w:t>
      </w:r>
    </w:p>
    <w:p w14:paraId="45F43491" w14:textId="77777777" w:rsidR="00D23CC1" w:rsidRPr="00C23FDF" w:rsidRDefault="00000000">
      <w:pPr>
        <w:pBdr>
          <w:top w:val="nil"/>
          <w:left w:val="nil"/>
          <w:bottom w:val="nil"/>
          <w:right w:val="nil"/>
          <w:between w:val="nil"/>
        </w:pBdr>
        <w:spacing w:before="133" w:after="240"/>
        <w:ind w:right="48"/>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Bagian ini harus mencantumkan ucapan terima kasih kepada individu yang memberikan bantuan pribadi terhadap pekerjaan ini namun tidak memenuhi kriteria sebagai penulis, dengan menjelaskan kontribusi mereka secara rinci. Sangat penting untuk memperoleh persetujuan dari semua individu yang dicantumkan dalam bagian ucapan terima kasih.</w:t>
      </w:r>
    </w:p>
    <w:p w14:paraId="449174FE" w14:textId="77777777" w:rsidR="00D23CC1" w:rsidRPr="00C23FDF" w:rsidRDefault="00000000">
      <w:pPr>
        <w:pStyle w:val="Heading1"/>
        <w:spacing w:before="0"/>
        <w:rPr>
          <w:rFonts w:ascii="Tw Cen MT" w:eastAsia="Twentieth Century" w:hAnsi="Tw Cen MT" w:cs="Twentieth Century"/>
          <w:b/>
          <w:bCs/>
          <w:color w:val="000000"/>
          <w:sz w:val="24"/>
          <w:szCs w:val="24"/>
        </w:rPr>
      </w:pPr>
      <w:r w:rsidRPr="00C23FDF">
        <w:rPr>
          <w:rFonts w:ascii="Tw Cen MT" w:eastAsia="Twentieth Century" w:hAnsi="Tw Cen MT" w:cs="Twentieth Century"/>
          <w:b/>
          <w:bCs/>
          <w:color w:val="000000"/>
          <w:sz w:val="24"/>
          <w:szCs w:val="24"/>
        </w:rPr>
        <w:t>REFERENSI (12 pt)</w:t>
      </w:r>
    </w:p>
    <w:p w14:paraId="1B4217B5" w14:textId="77777777" w:rsidR="00D23CC1" w:rsidRPr="00C23FDF" w:rsidRDefault="00000000">
      <w:pPr>
        <w:pBdr>
          <w:top w:val="nil"/>
          <w:left w:val="nil"/>
          <w:bottom w:val="nil"/>
          <w:right w:val="nil"/>
          <w:between w:val="nil"/>
        </w:pBdr>
        <w:spacing w:before="133"/>
        <w:ind w:right="48"/>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Referensi utama harus berasal dari jurnal dan prosiding internasional. Semua referensi harus merujuk pada sumber yang paling relevan dan terkini, dengan jumlah minimum 25 referensi untuk artikel penelitian asli dan 50 referensi untuk artikel tinjauan (review). Penulisan referensi mengikuti gaya IEEE. Anda dapat mengakses panduan lengkap di </w:t>
      </w:r>
      <w:hyperlink r:id="rId13">
        <w:r w:rsidR="00D23CC1" w:rsidRPr="00C23FDF">
          <w:rPr>
            <w:rFonts w:ascii="Tw Cen MT" w:eastAsia="Twentieth Century" w:hAnsi="Tw Cen MT" w:cs="Twentieth Century"/>
            <w:color w:val="0000FF"/>
            <w:sz w:val="20"/>
            <w:szCs w:val="20"/>
            <w:u w:val="single"/>
          </w:rPr>
          <w:t>http://ipmuonline.com/guide/refstyle.pdf</w:t>
        </w:r>
      </w:hyperlink>
      <w:r w:rsidRPr="00C23FDF">
        <w:rPr>
          <w:rFonts w:ascii="Tw Cen MT" w:eastAsia="Twentieth Century" w:hAnsi="Tw Cen MT" w:cs="Twentieth Century"/>
          <w:color w:val="000000"/>
          <w:sz w:val="20"/>
          <w:szCs w:val="20"/>
        </w:rPr>
        <w:t>.</w:t>
      </w:r>
    </w:p>
    <w:p w14:paraId="51942FA7" w14:textId="77777777" w:rsidR="00D23CC1" w:rsidRPr="00C23FDF" w:rsidRDefault="00000000">
      <w:pPr>
        <w:pBdr>
          <w:top w:val="nil"/>
          <w:left w:val="nil"/>
          <w:bottom w:val="nil"/>
          <w:right w:val="nil"/>
          <w:between w:val="nil"/>
        </w:pBdr>
        <w:spacing w:after="240"/>
        <w:ind w:right="48" w:firstLine="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Gunakan alat manajemen referensi seperti EndNote, Mendeley, atau Zotero untuk membantu dalam pengelolaan dan pemformatan referensi, dan pastikan memilih gaya IEEE. Harap gunakan format yang konsisten dalam penulisan referensi — lihat contoh berikut (ukuran font 10 pt):</w:t>
      </w:r>
    </w:p>
    <w:p w14:paraId="3CF4FCA6" w14:textId="77777777" w:rsidR="00D23CC1" w:rsidRPr="00C23FDF" w:rsidRDefault="00000000">
      <w:pPr>
        <w:widowControl/>
        <w:numPr>
          <w:ilvl w:val="0"/>
          <w:numId w:val="2"/>
        </w:numPr>
        <w:pBdr>
          <w:top w:val="nil"/>
          <w:left w:val="nil"/>
          <w:bottom w:val="nil"/>
          <w:right w:val="nil"/>
          <w:between w:val="nil"/>
        </w:pBdr>
        <w:ind w:left="426" w:hanging="426"/>
        <w:jc w:val="both"/>
        <w:rPr>
          <w:rFonts w:ascii="Tw Cen MT" w:eastAsia="Twentieth Century" w:hAnsi="Tw Cen MT" w:cs="Twentieth Century"/>
          <w:b/>
          <w:bCs/>
          <w:color w:val="000000"/>
          <w:sz w:val="20"/>
          <w:szCs w:val="20"/>
        </w:rPr>
      </w:pPr>
      <w:r w:rsidRPr="00C23FDF">
        <w:rPr>
          <w:rFonts w:ascii="Tw Cen MT" w:eastAsia="Twentieth Century" w:hAnsi="Tw Cen MT" w:cs="Twentieth Century"/>
          <w:b/>
          <w:bCs/>
          <w:color w:val="000000"/>
          <w:sz w:val="20"/>
          <w:szCs w:val="20"/>
        </w:rPr>
        <w:t>Journal/Periodicals</w:t>
      </w:r>
    </w:p>
    <w:p w14:paraId="1D8D4420" w14:textId="77777777" w:rsidR="00D23CC1" w:rsidRPr="00C23FDF" w:rsidRDefault="00000000">
      <w:pPr>
        <w:pBdr>
          <w:top w:val="nil"/>
          <w:left w:val="nil"/>
          <w:bottom w:val="nil"/>
          <w:right w:val="nil"/>
          <w:between w:val="nil"/>
        </w:pBdr>
        <w:jc w:val="both"/>
        <w:rPr>
          <w:rFonts w:ascii="Tw Cen MT" w:eastAsia="Twentieth Century" w:hAnsi="Tw Cen MT" w:cs="Twentieth Century"/>
          <w:color w:val="000000"/>
          <w:sz w:val="20"/>
          <w:szCs w:val="20"/>
        </w:rPr>
      </w:pPr>
      <w:r w:rsidRPr="00C23FDF">
        <w:rPr>
          <w:rFonts w:ascii="Tw Cen MT" w:eastAsia="Twentieth Century" w:hAnsi="Tw Cen MT" w:cs="Twentieth Century"/>
          <w:i/>
          <w:iCs/>
          <w:color w:val="000000"/>
          <w:sz w:val="20"/>
          <w:szCs w:val="20"/>
        </w:rPr>
        <w:lastRenderedPageBreak/>
        <w:t xml:space="preserve">Basic Format: </w:t>
      </w:r>
    </w:p>
    <w:p w14:paraId="4F7B2E9B" w14:textId="77777777" w:rsidR="00D23CC1" w:rsidRPr="00C23FDF" w:rsidRDefault="00000000">
      <w:pPr>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J. K. Author, “Title of paper,” </w:t>
      </w:r>
      <w:r w:rsidRPr="00C23FDF">
        <w:rPr>
          <w:rFonts w:ascii="Tw Cen MT" w:eastAsia="Twentieth Century" w:hAnsi="Tw Cen MT" w:cs="Twentieth Century"/>
          <w:i/>
          <w:iCs/>
          <w:color w:val="000000"/>
          <w:sz w:val="20"/>
          <w:szCs w:val="20"/>
        </w:rPr>
        <w:t>Abbrev. Title of Journal/Periodical</w:t>
      </w:r>
      <w:r w:rsidRPr="00C23FDF">
        <w:rPr>
          <w:rFonts w:ascii="Tw Cen MT" w:eastAsia="Twentieth Century" w:hAnsi="Tw Cen MT" w:cs="Twentieth Century"/>
          <w:color w:val="000000"/>
          <w:sz w:val="20"/>
          <w:szCs w:val="20"/>
        </w:rPr>
        <w:t xml:space="preserve">, vol. </w:t>
      </w:r>
      <w:r w:rsidRPr="00C23FDF">
        <w:rPr>
          <w:rFonts w:ascii="Tw Cen MT" w:eastAsia="Twentieth Century" w:hAnsi="Tw Cen MT" w:cs="Twentieth Century"/>
          <w:i/>
          <w:iCs/>
          <w:color w:val="000000"/>
          <w:sz w:val="20"/>
          <w:szCs w:val="20"/>
        </w:rPr>
        <w:t xml:space="preserve">x, </w:t>
      </w:r>
      <w:r w:rsidRPr="00C23FDF">
        <w:rPr>
          <w:rFonts w:ascii="Tw Cen MT" w:eastAsia="Twentieth Century" w:hAnsi="Tw Cen MT" w:cs="Twentieth Century"/>
          <w:color w:val="000000"/>
          <w:sz w:val="20"/>
          <w:szCs w:val="20"/>
        </w:rPr>
        <w:t xml:space="preserve">no. </w:t>
      </w:r>
      <w:r w:rsidRPr="00C23FDF">
        <w:rPr>
          <w:rFonts w:ascii="Tw Cen MT" w:eastAsia="Twentieth Century" w:hAnsi="Tw Cen MT" w:cs="Twentieth Century"/>
          <w:i/>
          <w:iCs/>
          <w:color w:val="000000"/>
          <w:sz w:val="20"/>
          <w:szCs w:val="20"/>
        </w:rPr>
        <w:t xml:space="preserve">x, </w:t>
      </w:r>
      <w:r w:rsidRPr="00C23FDF">
        <w:rPr>
          <w:rFonts w:ascii="Tw Cen MT" w:eastAsia="Twentieth Century" w:hAnsi="Tw Cen MT" w:cs="Twentieth Century"/>
          <w:color w:val="000000"/>
          <w:sz w:val="20"/>
          <w:szCs w:val="20"/>
        </w:rPr>
        <w:t>pp</w:t>
      </w:r>
      <w:r w:rsidRPr="00C23FDF">
        <w:rPr>
          <w:rFonts w:ascii="Tw Cen MT" w:eastAsia="Twentieth Century" w:hAnsi="Tw Cen MT" w:cs="Twentieth Century"/>
          <w:i/>
          <w:iCs/>
          <w:color w:val="000000"/>
          <w:sz w:val="20"/>
          <w:szCs w:val="20"/>
        </w:rPr>
        <w:t xml:space="preserve">. xxx-xxx, </w:t>
      </w:r>
      <w:r w:rsidRPr="00C23FDF">
        <w:rPr>
          <w:rFonts w:ascii="Tw Cen MT" w:eastAsia="Twentieth Century" w:hAnsi="Tw Cen MT" w:cs="Twentieth Century"/>
          <w:color w:val="000000"/>
          <w:sz w:val="20"/>
          <w:szCs w:val="20"/>
        </w:rPr>
        <w:t xml:space="preserve">Abbrev. Month, year, doi: </w:t>
      </w:r>
      <w:r w:rsidRPr="00C23FDF">
        <w:rPr>
          <w:rFonts w:ascii="Tw Cen MT" w:eastAsia="Twentieth Century" w:hAnsi="Tw Cen MT" w:cs="Twentieth Century"/>
          <w:i/>
          <w:iCs/>
          <w:color w:val="000000"/>
          <w:sz w:val="20"/>
          <w:szCs w:val="20"/>
        </w:rPr>
        <w:t>xxx</w:t>
      </w:r>
      <w:r w:rsidRPr="00C23FDF">
        <w:rPr>
          <w:rFonts w:ascii="Tw Cen MT" w:eastAsia="Twentieth Century" w:hAnsi="Tw Cen MT" w:cs="Twentieth Century"/>
          <w:color w:val="000000"/>
          <w:sz w:val="20"/>
          <w:szCs w:val="20"/>
        </w:rPr>
        <w:t xml:space="preserve">. </w:t>
      </w:r>
    </w:p>
    <w:p w14:paraId="43B7C5E0" w14:textId="77777777" w:rsidR="00D23CC1" w:rsidRPr="00C23FDF" w:rsidRDefault="00000000">
      <w:pPr>
        <w:pBdr>
          <w:top w:val="nil"/>
          <w:left w:val="nil"/>
          <w:bottom w:val="nil"/>
          <w:right w:val="nil"/>
          <w:between w:val="nil"/>
        </w:pBdr>
        <w:jc w:val="both"/>
        <w:rPr>
          <w:rFonts w:ascii="Tw Cen MT" w:eastAsia="Twentieth Century" w:hAnsi="Tw Cen MT" w:cs="Twentieth Century"/>
          <w:color w:val="212121"/>
          <w:sz w:val="20"/>
          <w:szCs w:val="20"/>
        </w:rPr>
      </w:pPr>
      <w:r w:rsidRPr="00C23FDF">
        <w:rPr>
          <w:rFonts w:ascii="Tw Cen MT" w:eastAsia="Twentieth Century" w:hAnsi="Tw Cen MT" w:cs="Twentieth Century"/>
          <w:i/>
          <w:iCs/>
          <w:color w:val="212121"/>
          <w:sz w:val="20"/>
          <w:szCs w:val="20"/>
        </w:rPr>
        <w:t xml:space="preserve">Examples: </w:t>
      </w:r>
    </w:p>
    <w:p w14:paraId="7C2F0CD8" w14:textId="77777777" w:rsidR="00D23CC1" w:rsidRPr="00C23FDF" w:rsidRDefault="00000000">
      <w:pPr>
        <w:numPr>
          <w:ilvl w:val="0"/>
          <w:numId w:val="3"/>
        </w:numPr>
        <w:pBdr>
          <w:top w:val="nil"/>
          <w:left w:val="nil"/>
          <w:bottom w:val="nil"/>
          <w:right w:val="nil"/>
          <w:between w:val="nil"/>
        </w:pBdr>
        <w:ind w:left="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M. M. Chiampi and L. L. Zilberti, “Induction of electric field in human bodies moving near MRI: An efficient BEM computational procedure,” </w:t>
      </w:r>
      <w:r w:rsidRPr="00C23FDF">
        <w:rPr>
          <w:rFonts w:ascii="Tw Cen MT" w:eastAsia="Twentieth Century" w:hAnsi="Tw Cen MT" w:cs="Twentieth Century"/>
          <w:i/>
          <w:iCs/>
          <w:color w:val="000000"/>
          <w:sz w:val="20"/>
          <w:szCs w:val="20"/>
        </w:rPr>
        <w:t>IEEE Trans. Biomed. Eng.</w:t>
      </w:r>
      <w:r w:rsidRPr="00C23FDF">
        <w:rPr>
          <w:rFonts w:ascii="Tw Cen MT" w:eastAsia="Twentieth Century" w:hAnsi="Tw Cen MT" w:cs="Twentieth Century"/>
          <w:color w:val="000000"/>
          <w:sz w:val="20"/>
          <w:szCs w:val="20"/>
        </w:rPr>
        <w:t xml:space="preserve">, vol. 58, pp. 2787–2793, Oct. 2011, doi: 10.1109/TBME.2011.2158315. </w:t>
      </w:r>
    </w:p>
    <w:p w14:paraId="340CBEF1" w14:textId="77777777" w:rsidR="00D23CC1" w:rsidRPr="00C23FDF" w:rsidRDefault="00D23CC1">
      <w:pPr>
        <w:pBdr>
          <w:top w:val="nil"/>
          <w:left w:val="nil"/>
          <w:bottom w:val="nil"/>
          <w:right w:val="nil"/>
          <w:between w:val="nil"/>
        </w:pBdr>
        <w:ind w:left="426"/>
        <w:jc w:val="both"/>
        <w:rPr>
          <w:rFonts w:ascii="Tw Cen MT" w:eastAsia="Twentieth Century" w:hAnsi="Tw Cen MT" w:cs="Twentieth Century"/>
          <w:color w:val="000000"/>
          <w:sz w:val="20"/>
          <w:szCs w:val="20"/>
        </w:rPr>
      </w:pPr>
    </w:p>
    <w:p w14:paraId="680602C8" w14:textId="77777777" w:rsidR="00D23CC1" w:rsidRPr="00C23FDF" w:rsidRDefault="00000000">
      <w:pPr>
        <w:numPr>
          <w:ilvl w:val="0"/>
          <w:numId w:val="3"/>
        </w:numPr>
        <w:pBdr>
          <w:top w:val="nil"/>
          <w:left w:val="nil"/>
          <w:bottom w:val="nil"/>
          <w:right w:val="nil"/>
          <w:between w:val="nil"/>
        </w:pBdr>
        <w:ind w:left="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R. Fardel, M. Nagel, F. Nuesch, T. Lippert, and A. Wokaun, “Fabrication of organic light emitting diode pixels by laser-assisted forward transfer,” </w:t>
      </w:r>
      <w:r w:rsidRPr="00C23FDF">
        <w:rPr>
          <w:rFonts w:ascii="Tw Cen MT" w:eastAsia="Twentieth Century" w:hAnsi="Tw Cen MT" w:cs="Twentieth Century"/>
          <w:i/>
          <w:iCs/>
          <w:color w:val="000000"/>
          <w:sz w:val="20"/>
          <w:szCs w:val="20"/>
        </w:rPr>
        <w:t>Appl. Phys. Lett.</w:t>
      </w:r>
      <w:r w:rsidRPr="00C23FDF">
        <w:rPr>
          <w:rFonts w:ascii="Tw Cen MT" w:eastAsia="Twentieth Century" w:hAnsi="Tw Cen MT" w:cs="Twentieth Century"/>
          <w:color w:val="000000"/>
          <w:sz w:val="20"/>
          <w:szCs w:val="20"/>
        </w:rPr>
        <w:t xml:space="preserve">, vol. 91, no. 6, Aug. 2007, Art. no. 061103, doi: 10.1063/1.2759475. </w:t>
      </w:r>
    </w:p>
    <w:p w14:paraId="49A5ADB0" w14:textId="77777777" w:rsidR="00D23CC1" w:rsidRPr="00C23FDF" w:rsidRDefault="00D23CC1">
      <w:pPr>
        <w:pBdr>
          <w:top w:val="nil"/>
          <w:left w:val="nil"/>
          <w:bottom w:val="nil"/>
          <w:right w:val="nil"/>
          <w:between w:val="nil"/>
        </w:pBdr>
        <w:ind w:left="66"/>
        <w:jc w:val="both"/>
        <w:rPr>
          <w:rFonts w:ascii="Tw Cen MT" w:eastAsia="Twentieth Century" w:hAnsi="Tw Cen MT" w:cs="Twentieth Century"/>
          <w:color w:val="000000"/>
        </w:rPr>
      </w:pPr>
    </w:p>
    <w:p w14:paraId="74051C84" w14:textId="77777777" w:rsidR="00D23CC1" w:rsidRPr="00C23FDF" w:rsidRDefault="00000000">
      <w:pPr>
        <w:widowControl/>
        <w:numPr>
          <w:ilvl w:val="0"/>
          <w:numId w:val="2"/>
        </w:numPr>
        <w:pBdr>
          <w:top w:val="nil"/>
          <w:left w:val="nil"/>
          <w:bottom w:val="nil"/>
          <w:right w:val="nil"/>
          <w:between w:val="nil"/>
        </w:pBdr>
        <w:ind w:left="426" w:hanging="426"/>
        <w:jc w:val="both"/>
        <w:rPr>
          <w:rFonts w:ascii="Tw Cen MT" w:eastAsia="Twentieth Century" w:hAnsi="Tw Cen MT" w:cs="Twentieth Century"/>
          <w:color w:val="000000"/>
          <w:sz w:val="20"/>
          <w:szCs w:val="20"/>
        </w:rPr>
      </w:pPr>
      <w:r w:rsidRPr="00C23FDF">
        <w:rPr>
          <w:rFonts w:ascii="Tw Cen MT" w:eastAsia="Twentieth Century" w:hAnsi="Tw Cen MT" w:cs="Twentieth Century"/>
          <w:b/>
          <w:bCs/>
          <w:color w:val="000000"/>
          <w:sz w:val="20"/>
          <w:szCs w:val="20"/>
        </w:rPr>
        <w:t xml:space="preserve">Conference Proceedings </w:t>
      </w:r>
    </w:p>
    <w:p w14:paraId="0323DD28" w14:textId="77777777" w:rsidR="00D23CC1" w:rsidRPr="00C23FDF" w:rsidRDefault="00000000">
      <w:pPr>
        <w:pBdr>
          <w:top w:val="nil"/>
          <w:left w:val="nil"/>
          <w:bottom w:val="nil"/>
          <w:right w:val="nil"/>
          <w:between w:val="nil"/>
        </w:pBdr>
        <w:jc w:val="both"/>
        <w:rPr>
          <w:rFonts w:ascii="Tw Cen MT" w:eastAsia="Twentieth Century" w:hAnsi="Tw Cen MT" w:cs="Twentieth Century"/>
          <w:color w:val="000000"/>
          <w:sz w:val="20"/>
          <w:szCs w:val="20"/>
        </w:rPr>
      </w:pPr>
      <w:r w:rsidRPr="00C23FDF">
        <w:rPr>
          <w:rFonts w:ascii="Tw Cen MT" w:eastAsia="Twentieth Century" w:hAnsi="Tw Cen MT" w:cs="Twentieth Century"/>
          <w:i/>
          <w:iCs/>
          <w:color w:val="000000"/>
          <w:sz w:val="20"/>
          <w:szCs w:val="20"/>
        </w:rPr>
        <w:t xml:space="preserve">Basic Format: </w:t>
      </w:r>
    </w:p>
    <w:p w14:paraId="11E7FBE9" w14:textId="77777777" w:rsidR="00D23CC1" w:rsidRPr="00C23FDF" w:rsidRDefault="00000000">
      <w:pPr>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J. K. Author, “Title of paper,” in </w:t>
      </w:r>
      <w:r w:rsidRPr="00C23FDF">
        <w:rPr>
          <w:rFonts w:ascii="Tw Cen MT" w:eastAsia="Twentieth Century" w:hAnsi="Tw Cen MT" w:cs="Twentieth Century"/>
          <w:i/>
          <w:iCs/>
          <w:color w:val="000000"/>
          <w:sz w:val="20"/>
          <w:szCs w:val="20"/>
        </w:rPr>
        <w:t>Abbreviated Name of Conf.</w:t>
      </w:r>
      <w:r w:rsidRPr="00C23FDF">
        <w:rPr>
          <w:rFonts w:ascii="Tw Cen MT" w:eastAsia="Twentieth Century" w:hAnsi="Tw Cen MT" w:cs="Twentieth Century"/>
          <w:color w:val="000000"/>
          <w:sz w:val="20"/>
          <w:szCs w:val="20"/>
        </w:rPr>
        <w:t xml:space="preserve">, (location of conference is optional), year, pp. </w:t>
      </w:r>
      <w:r w:rsidRPr="00C23FDF">
        <w:rPr>
          <w:rFonts w:ascii="Tw Cen MT" w:eastAsia="Twentieth Century" w:hAnsi="Tw Cen MT" w:cs="Twentieth Century"/>
          <w:i/>
          <w:iCs/>
          <w:color w:val="000000"/>
          <w:sz w:val="20"/>
          <w:szCs w:val="20"/>
        </w:rPr>
        <w:t>xxx–xxx</w:t>
      </w:r>
      <w:r w:rsidRPr="00C23FDF">
        <w:rPr>
          <w:rFonts w:ascii="Tw Cen MT" w:eastAsia="Twentieth Century" w:hAnsi="Tw Cen MT" w:cs="Twentieth Century"/>
          <w:color w:val="000000"/>
          <w:sz w:val="20"/>
          <w:szCs w:val="20"/>
        </w:rPr>
        <w:t xml:space="preserve">, doi: </w:t>
      </w:r>
      <w:r w:rsidRPr="00C23FDF">
        <w:rPr>
          <w:rFonts w:ascii="Tw Cen MT" w:eastAsia="Twentieth Century" w:hAnsi="Tw Cen MT" w:cs="Twentieth Century"/>
          <w:i/>
          <w:iCs/>
          <w:color w:val="000000"/>
          <w:sz w:val="20"/>
          <w:szCs w:val="20"/>
        </w:rPr>
        <w:t xml:space="preserve">xxx. </w:t>
      </w:r>
    </w:p>
    <w:p w14:paraId="0BB7CBDA" w14:textId="77777777" w:rsidR="00D23CC1" w:rsidRPr="00C23FDF" w:rsidRDefault="00000000">
      <w:pPr>
        <w:pBdr>
          <w:top w:val="nil"/>
          <w:left w:val="nil"/>
          <w:bottom w:val="nil"/>
          <w:right w:val="nil"/>
          <w:between w:val="nil"/>
        </w:pBdr>
        <w:jc w:val="both"/>
        <w:rPr>
          <w:rFonts w:ascii="Tw Cen MT" w:eastAsia="Twentieth Century" w:hAnsi="Tw Cen MT" w:cs="Twentieth Century"/>
          <w:i/>
          <w:iCs/>
          <w:color w:val="000000"/>
          <w:sz w:val="20"/>
          <w:szCs w:val="20"/>
        </w:rPr>
      </w:pPr>
      <w:r w:rsidRPr="00C23FDF">
        <w:rPr>
          <w:rFonts w:ascii="Tw Cen MT" w:eastAsia="Twentieth Century" w:hAnsi="Tw Cen MT" w:cs="Twentieth Century"/>
          <w:i/>
          <w:iCs/>
          <w:color w:val="000000"/>
          <w:sz w:val="20"/>
          <w:szCs w:val="20"/>
        </w:rPr>
        <w:t xml:space="preserve">Examples: </w:t>
      </w:r>
    </w:p>
    <w:p w14:paraId="25142923" w14:textId="77777777" w:rsidR="00D23CC1" w:rsidRPr="00C23FDF" w:rsidRDefault="00000000">
      <w:pPr>
        <w:numPr>
          <w:ilvl w:val="0"/>
          <w:numId w:val="3"/>
        </w:numPr>
        <w:pBdr>
          <w:top w:val="nil"/>
          <w:left w:val="nil"/>
          <w:bottom w:val="nil"/>
          <w:right w:val="nil"/>
          <w:between w:val="nil"/>
        </w:pBdr>
        <w:ind w:left="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G. Veruggio, “The EURON roboethics roadmap,” in </w:t>
      </w:r>
      <w:r w:rsidRPr="00C23FDF">
        <w:rPr>
          <w:rFonts w:ascii="Tw Cen MT" w:eastAsia="Twentieth Century" w:hAnsi="Tw Cen MT" w:cs="Twentieth Century"/>
          <w:i/>
          <w:iCs/>
          <w:color w:val="000000"/>
          <w:sz w:val="20"/>
          <w:szCs w:val="20"/>
        </w:rPr>
        <w:t>Proc. Humanoids ’06: 6th IEEE-RAS Int. Conf. Humanoid Robots</w:t>
      </w:r>
      <w:r w:rsidRPr="00C23FDF">
        <w:rPr>
          <w:rFonts w:ascii="Tw Cen MT" w:eastAsia="Twentieth Century" w:hAnsi="Tw Cen MT" w:cs="Twentieth Century"/>
          <w:color w:val="000000"/>
          <w:sz w:val="20"/>
          <w:szCs w:val="20"/>
        </w:rPr>
        <w:t xml:space="preserve">, 2006, pp. 612–617, doi: 10.1109/ICHR.2006.321337. </w:t>
      </w:r>
    </w:p>
    <w:p w14:paraId="117AED5F" w14:textId="77777777" w:rsidR="00D23CC1" w:rsidRPr="00C23FDF" w:rsidRDefault="00000000">
      <w:pPr>
        <w:numPr>
          <w:ilvl w:val="0"/>
          <w:numId w:val="3"/>
        </w:numPr>
        <w:pBdr>
          <w:top w:val="nil"/>
          <w:left w:val="nil"/>
          <w:bottom w:val="nil"/>
          <w:right w:val="nil"/>
          <w:between w:val="nil"/>
        </w:pBdr>
        <w:ind w:left="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J. Zhao, G. Sun, G. H. Loh, and Y. Xie, “Energy-efficient GPU design with reconfigurable in-package graphics memory,” in </w:t>
      </w:r>
      <w:r w:rsidRPr="00C23FDF">
        <w:rPr>
          <w:rFonts w:ascii="Tw Cen MT" w:eastAsia="Twentieth Century" w:hAnsi="Tw Cen MT" w:cs="Twentieth Century"/>
          <w:i/>
          <w:iCs/>
          <w:color w:val="000000"/>
          <w:sz w:val="20"/>
          <w:szCs w:val="20"/>
        </w:rPr>
        <w:t>Proc. ACM/IEEE Int. Symp. Low Power Electron. Design (ISLPED)</w:t>
      </w:r>
      <w:r w:rsidRPr="00C23FDF">
        <w:rPr>
          <w:rFonts w:ascii="Tw Cen MT" w:eastAsia="Twentieth Century" w:hAnsi="Tw Cen MT" w:cs="Twentieth Century"/>
          <w:color w:val="000000"/>
          <w:sz w:val="20"/>
          <w:szCs w:val="20"/>
        </w:rPr>
        <w:t xml:space="preserve">, Jul. 2012, pp. 403–408, doi: 10.1145/2333660.2333752. </w:t>
      </w:r>
    </w:p>
    <w:p w14:paraId="33F11E31" w14:textId="77777777" w:rsidR="00D23CC1" w:rsidRPr="00C23FDF" w:rsidRDefault="00D23CC1">
      <w:pPr>
        <w:jc w:val="both"/>
        <w:rPr>
          <w:rFonts w:ascii="Tw Cen MT" w:eastAsia="Twentieth Century" w:hAnsi="Tw Cen MT" w:cs="Twentieth Century"/>
          <w:b/>
          <w:bCs/>
        </w:rPr>
      </w:pPr>
    </w:p>
    <w:p w14:paraId="44201EFC" w14:textId="77777777" w:rsidR="00D23CC1" w:rsidRPr="00C23FDF" w:rsidRDefault="00000000">
      <w:pPr>
        <w:widowControl/>
        <w:numPr>
          <w:ilvl w:val="0"/>
          <w:numId w:val="2"/>
        </w:numPr>
        <w:pBdr>
          <w:top w:val="nil"/>
          <w:left w:val="nil"/>
          <w:bottom w:val="nil"/>
          <w:right w:val="nil"/>
          <w:between w:val="nil"/>
        </w:pBdr>
        <w:ind w:left="426" w:hanging="426"/>
        <w:jc w:val="both"/>
        <w:rPr>
          <w:rFonts w:ascii="Tw Cen MT" w:eastAsia="Twentieth Century" w:hAnsi="Tw Cen MT" w:cs="Twentieth Century"/>
          <w:b/>
          <w:bCs/>
          <w:color w:val="000000"/>
          <w:sz w:val="20"/>
          <w:szCs w:val="20"/>
        </w:rPr>
      </w:pPr>
      <w:r w:rsidRPr="00C23FDF">
        <w:rPr>
          <w:rFonts w:ascii="Tw Cen MT" w:eastAsia="Twentieth Century" w:hAnsi="Tw Cen MT" w:cs="Twentieth Century"/>
          <w:b/>
          <w:bCs/>
          <w:color w:val="000000"/>
          <w:sz w:val="20"/>
          <w:szCs w:val="20"/>
        </w:rPr>
        <w:t>Book</w:t>
      </w:r>
    </w:p>
    <w:p w14:paraId="1F517394" w14:textId="77777777" w:rsidR="00D23CC1" w:rsidRPr="00C23FDF" w:rsidRDefault="00000000">
      <w:pPr>
        <w:pBdr>
          <w:top w:val="nil"/>
          <w:left w:val="nil"/>
          <w:bottom w:val="nil"/>
          <w:right w:val="nil"/>
          <w:between w:val="nil"/>
        </w:pBdr>
        <w:jc w:val="both"/>
        <w:rPr>
          <w:rFonts w:ascii="Tw Cen MT" w:eastAsia="Twentieth Century" w:hAnsi="Tw Cen MT" w:cs="Twentieth Century"/>
          <w:i/>
          <w:iCs/>
          <w:color w:val="000000"/>
          <w:sz w:val="20"/>
          <w:szCs w:val="20"/>
        </w:rPr>
      </w:pPr>
      <w:r w:rsidRPr="00C23FDF">
        <w:rPr>
          <w:rFonts w:ascii="Tw Cen MT" w:eastAsia="Twentieth Century" w:hAnsi="Tw Cen MT" w:cs="Twentieth Century"/>
          <w:i/>
          <w:iCs/>
          <w:color w:val="000000"/>
          <w:sz w:val="20"/>
          <w:szCs w:val="20"/>
        </w:rPr>
        <w:t xml:space="preserve">Basic Format: </w:t>
      </w:r>
    </w:p>
    <w:p w14:paraId="12CBB9ED" w14:textId="77777777" w:rsidR="00D23CC1" w:rsidRPr="00C23FDF" w:rsidRDefault="00000000">
      <w:pPr>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J. K. Author, “Title of chapter in the book,” in </w:t>
      </w:r>
      <w:r w:rsidRPr="00C23FDF">
        <w:rPr>
          <w:rFonts w:ascii="Tw Cen MT" w:eastAsia="Twentieth Century" w:hAnsi="Tw Cen MT" w:cs="Twentieth Century"/>
          <w:i/>
          <w:iCs/>
          <w:color w:val="000000"/>
          <w:sz w:val="20"/>
          <w:szCs w:val="20"/>
        </w:rPr>
        <w:t>Title of His Published Book</w:t>
      </w:r>
      <w:r w:rsidRPr="00C23FDF">
        <w:rPr>
          <w:rFonts w:ascii="Tw Cen MT" w:eastAsia="Twentieth Century" w:hAnsi="Tw Cen MT" w:cs="Twentieth Century"/>
          <w:color w:val="000000"/>
          <w:sz w:val="20"/>
          <w:szCs w:val="20"/>
        </w:rPr>
        <w:t xml:space="preserve">, X. Editor, Ed., </w:t>
      </w:r>
      <w:r w:rsidRPr="00C23FDF">
        <w:rPr>
          <w:rFonts w:ascii="Tw Cen MT" w:eastAsia="Twentieth Century" w:hAnsi="Tw Cen MT" w:cs="Twentieth Century"/>
          <w:i/>
          <w:iCs/>
          <w:color w:val="000000"/>
          <w:sz w:val="20"/>
          <w:szCs w:val="20"/>
        </w:rPr>
        <w:t>x</w:t>
      </w:r>
      <w:r w:rsidRPr="00C23FDF">
        <w:rPr>
          <w:rFonts w:ascii="Tw Cen MT" w:eastAsia="Twentieth Century" w:hAnsi="Tw Cen MT" w:cs="Twentieth Century"/>
          <w:color w:val="000000"/>
          <w:sz w:val="20"/>
          <w:szCs w:val="20"/>
        </w:rPr>
        <w:t xml:space="preserve">th ed. City of Publisher, State (only U.S.), Country: Abbrev. of Publisher, year, ch. </w:t>
      </w:r>
      <w:r w:rsidRPr="00C23FDF">
        <w:rPr>
          <w:rFonts w:ascii="Tw Cen MT" w:eastAsia="Twentieth Century" w:hAnsi="Tw Cen MT" w:cs="Twentieth Century"/>
          <w:i/>
          <w:iCs/>
          <w:color w:val="000000"/>
          <w:sz w:val="20"/>
          <w:szCs w:val="20"/>
        </w:rPr>
        <w:t>x</w:t>
      </w:r>
      <w:r w:rsidRPr="00C23FDF">
        <w:rPr>
          <w:rFonts w:ascii="Tw Cen MT" w:eastAsia="Twentieth Century" w:hAnsi="Tw Cen MT" w:cs="Twentieth Century"/>
          <w:color w:val="000000"/>
          <w:sz w:val="20"/>
          <w:szCs w:val="20"/>
        </w:rPr>
        <w:t xml:space="preserve">, sec. </w:t>
      </w:r>
      <w:r w:rsidRPr="00C23FDF">
        <w:rPr>
          <w:rFonts w:ascii="Tw Cen MT" w:eastAsia="Twentieth Century" w:hAnsi="Tw Cen MT" w:cs="Twentieth Century"/>
          <w:i/>
          <w:iCs/>
          <w:color w:val="000000"/>
          <w:sz w:val="20"/>
          <w:szCs w:val="20"/>
        </w:rPr>
        <w:t>x</w:t>
      </w:r>
      <w:r w:rsidRPr="00C23FDF">
        <w:rPr>
          <w:rFonts w:ascii="Tw Cen MT" w:eastAsia="Twentieth Century" w:hAnsi="Tw Cen MT" w:cs="Twentieth Century"/>
          <w:color w:val="000000"/>
          <w:sz w:val="20"/>
          <w:szCs w:val="20"/>
        </w:rPr>
        <w:t xml:space="preserve">, pp. </w:t>
      </w:r>
      <w:r w:rsidRPr="00C23FDF">
        <w:rPr>
          <w:rFonts w:ascii="Tw Cen MT" w:eastAsia="Twentieth Century" w:hAnsi="Tw Cen MT" w:cs="Twentieth Century"/>
          <w:i/>
          <w:iCs/>
          <w:color w:val="000000"/>
          <w:sz w:val="20"/>
          <w:szCs w:val="20"/>
        </w:rPr>
        <w:t xml:space="preserve">xxx–xxx. </w:t>
      </w:r>
    </w:p>
    <w:p w14:paraId="2CA885AD" w14:textId="77777777" w:rsidR="00D23CC1" w:rsidRPr="00C23FDF" w:rsidRDefault="00000000">
      <w:pPr>
        <w:jc w:val="both"/>
        <w:rPr>
          <w:rFonts w:ascii="Tw Cen MT" w:eastAsia="Twentieth Century" w:hAnsi="Tw Cen MT" w:cs="Twentieth Century"/>
          <w:i/>
          <w:iCs/>
          <w:sz w:val="20"/>
          <w:szCs w:val="20"/>
        </w:rPr>
      </w:pPr>
      <w:r w:rsidRPr="00C23FDF">
        <w:rPr>
          <w:rFonts w:ascii="Tw Cen MT" w:eastAsia="Twentieth Century" w:hAnsi="Tw Cen MT" w:cs="Twentieth Century"/>
          <w:i/>
          <w:iCs/>
          <w:sz w:val="20"/>
          <w:szCs w:val="20"/>
        </w:rPr>
        <w:t>Examples:</w:t>
      </w:r>
    </w:p>
    <w:p w14:paraId="581D09C0" w14:textId="77777777" w:rsidR="00D23CC1" w:rsidRPr="00C23FDF" w:rsidRDefault="00000000">
      <w:pPr>
        <w:numPr>
          <w:ilvl w:val="0"/>
          <w:numId w:val="3"/>
        </w:numPr>
        <w:pBdr>
          <w:top w:val="nil"/>
          <w:left w:val="nil"/>
          <w:bottom w:val="nil"/>
          <w:right w:val="nil"/>
          <w:between w:val="nil"/>
        </w:pBdr>
        <w:ind w:left="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A. Taflove, </w:t>
      </w:r>
      <w:r w:rsidRPr="00C23FDF">
        <w:rPr>
          <w:rFonts w:ascii="Tw Cen MT" w:eastAsia="Twentieth Century" w:hAnsi="Tw Cen MT" w:cs="Twentieth Century"/>
          <w:i/>
          <w:iCs/>
          <w:color w:val="000000"/>
          <w:sz w:val="20"/>
          <w:szCs w:val="20"/>
        </w:rPr>
        <w:t xml:space="preserve">Computational Electrodynamics: The Finite-Difference Time-Domain Method </w:t>
      </w:r>
      <w:r w:rsidRPr="00C23FDF">
        <w:rPr>
          <w:rFonts w:ascii="Tw Cen MT" w:eastAsia="Twentieth Century" w:hAnsi="Tw Cen MT" w:cs="Twentieth Century"/>
          <w:color w:val="000000"/>
          <w:sz w:val="20"/>
          <w:szCs w:val="20"/>
        </w:rPr>
        <w:t xml:space="preserve">in Computational Electrodynamics II, vol. 3, 2nd ed. Norwood, MA, USA: Artech House, 1996. </w:t>
      </w:r>
    </w:p>
    <w:p w14:paraId="6D0BE4A9" w14:textId="77777777" w:rsidR="00D23CC1" w:rsidRPr="00C23FDF" w:rsidRDefault="00000000">
      <w:pPr>
        <w:numPr>
          <w:ilvl w:val="0"/>
          <w:numId w:val="3"/>
        </w:numPr>
        <w:pBdr>
          <w:top w:val="nil"/>
          <w:left w:val="nil"/>
          <w:bottom w:val="nil"/>
          <w:right w:val="nil"/>
          <w:between w:val="nil"/>
        </w:pBdr>
        <w:ind w:left="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R. L. Myer, “Parametric oscillators and nonlinear materials,” in </w:t>
      </w:r>
      <w:r w:rsidRPr="00C23FDF">
        <w:rPr>
          <w:rFonts w:ascii="Tw Cen MT" w:eastAsia="Twentieth Century" w:hAnsi="Tw Cen MT" w:cs="Twentieth Century"/>
          <w:i/>
          <w:iCs/>
          <w:color w:val="000000"/>
          <w:sz w:val="20"/>
          <w:szCs w:val="20"/>
        </w:rPr>
        <w:t>Nonlinear Optics</w:t>
      </w:r>
      <w:r w:rsidRPr="00C23FDF">
        <w:rPr>
          <w:rFonts w:ascii="Tw Cen MT" w:eastAsia="Twentieth Century" w:hAnsi="Tw Cen MT" w:cs="Twentieth Century"/>
          <w:color w:val="000000"/>
          <w:sz w:val="20"/>
          <w:szCs w:val="20"/>
        </w:rPr>
        <w:t xml:space="preserve">, vol. 4, P. G. Harper and B. S. Wherret, Eds., San Francisco, CA, USA: Academic, 1977, pp. 47–160. </w:t>
      </w:r>
    </w:p>
    <w:p w14:paraId="7C502665" w14:textId="77777777" w:rsidR="00D23CC1" w:rsidRPr="00C23FDF" w:rsidRDefault="00D23CC1">
      <w:pPr>
        <w:jc w:val="both"/>
        <w:rPr>
          <w:rFonts w:ascii="Tw Cen MT" w:eastAsia="Twentieth Century" w:hAnsi="Tw Cen MT" w:cs="Twentieth Century"/>
          <w:color w:val="000000"/>
        </w:rPr>
      </w:pPr>
    </w:p>
    <w:p w14:paraId="29DDEC66" w14:textId="77777777" w:rsidR="00D23CC1" w:rsidRPr="00C23FDF" w:rsidRDefault="00000000">
      <w:pPr>
        <w:widowControl/>
        <w:numPr>
          <w:ilvl w:val="0"/>
          <w:numId w:val="2"/>
        </w:numPr>
        <w:pBdr>
          <w:top w:val="nil"/>
          <w:left w:val="nil"/>
          <w:bottom w:val="nil"/>
          <w:right w:val="nil"/>
          <w:between w:val="nil"/>
        </w:pBdr>
        <w:ind w:left="426" w:hanging="426"/>
        <w:jc w:val="both"/>
        <w:rPr>
          <w:rFonts w:ascii="Tw Cen MT" w:eastAsia="Twentieth Century" w:hAnsi="Tw Cen MT" w:cs="Twentieth Century"/>
          <w:b/>
          <w:bCs/>
          <w:color w:val="000000"/>
          <w:sz w:val="20"/>
          <w:szCs w:val="20"/>
        </w:rPr>
      </w:pPr>
      <w:r w:rsidRPr="00C23FDF">
        <w:rPr>
          <w:rFonts w:ascii="Tw Cen MT" w:eastAsia="Twentieth Century" w:hAnsi="Tw Cen MT" w:cs="Twentieth Century"/>
          <w:b/>
          <w:bCs/>
          <w:color w:val="000000"/>
          <w:sz w:val="20"/>
          <w:szCs w:val="20"/>
        </w:rPr>
        <w:t xml:space="preserve">M. Theses (B.S., M.S.) and Dissertations (Ph.D.) </w:t>
      </w:r>
    </w:p>
    <w:p w14:paraId="41C2DAB3" w14:textId="77777777" w:rsidR="00D23CC1" w:rsidRPr="00C23FDF" w:rsidRDefault="00000000">
      <w:pPr>
        <w:pBdr>
          <w:top w:val="nil"/>
          <w:left w:val="nil"/>
          <w:bottom w:val="nil"/>
          <w:right w:val="nil"/>
          <w:between w:val="nil"/>
        </w:pBdr>
        <w:jc w:val="both"/>
        <w:rPr>
          <w:rFonts w:ascii="Tw Cen MT" w:eastAsia="Twentieth Century" w:hAnsi="Tw Cen MT" w:cs="Twentieth Century"/>
          <w:color w:val="000000"/>
          <w:sz w:val="20"/>
          <w:szCs w:val="20"/>
        </w:rPr>
      </w:pPr>
      <w:r w:rsidRPr="00C23FDF">
        <w:rPr>
          <w:rFonts w:ascii="Tw Cen MT" w:eastAsia="Twentieth Century" w:hAnsi="Tw Cen MT" w:cs="Twentieth Century"/>
          <w:i/>
          <w:iCs/>
          <w:color w:val="000000"/>
          <w:sz w:val="20"/>
          <w:szCs w:val="20"/>
        </w:rPr>
        <w:t xml:space="preserve">Basic Format: </w:t>
      </w:r>
    </w:p>
    <w:p w14:paraId="6B4CD01A" w14:textId="77777777" w:rsidR="00D23CC1" w:rsidRPr="00C23FDF" w:rsidRDefault="00000000">
      <w:pPr>
        <w:pBdr>
          <w:top w:val="nil"/>
          <w:left w:val="nil"/>
          <w:bottom w:val="nil"/>
          <w:right w:val="nil"/>
          <w:between w:val="nil"/>
        </w:pBdr>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J. K. Author, “Title of thesis,” M.S. thesis, Abbrev. Dept., Abbrev. Univ., City of Univ., Abbrev. State, year. </w:t>
      </w:r>
    </w:p>
    <w:p w14:paraId="7CD875CB" w14:textId="77777777" w:rsidR="00D23CC1" w:rsidRPr="00C23FDF" w:rsidRDefault="00000000">
      <w:pPr>
        <w:pBdr>
          <w:top w:val="nil"/>
          <w:left w:val="nil"/>
          <w:bottom w:val="nil"/>
          <w:right w:val="nil"/>
          <w:between w:val="nil"/>
        </w:pBdr>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J. K. Author, “Title of dissertation,” Ph.D. dissertation, Abbrev. Dept., Abbrev. Univ., City of Univ., Abbrev. State, year. </w:t>
      </w:r>
    </w:p>
    <w:p w14:paraId="172BF2CC" w14:textId="77777777" w:rsidR="00D23CC1" w:rsidRPr="00C23FDF" w:rsidRDefault="00000000">
      <w:pPr>
        <w:pBdr>
          <w:top w:val="nil"/>
          <w:left w:val="nil"/>
          <w:bottom w:val="nil"/>
          <w:right w:val="nil"/>
          <w:between w:val="nil"/>
        </w:pBdr>
        <w:jc w:val="both"/>
        <w:rPr>
          <w:rFonts w:ascii="Tw Cen MT" w:eastAsia="Twentieth Century" w:hAnsi="Tw Cen MT" w:cs="Twentieth Century"/>
          <w:color w:val="000000"/>
          <w:sz w:val="20"/>
          <w:szCs w:val="20"/>
        </w:rPr>
      </w:pPr>
      <w:r w:rsidRPr="00C23FDF">
        <w:rPr>
          <w:rFonts w:ascii="Tw Cen MT" w:eastAsia="Twentieth Century" w:hAnsi="Tw Cen MT" w:cs="Twentieth Century"/>
          <w:i/>
          <w:iCs/>
          <w:color w:val="000000"/>
          <w:sz w:val="20"/>
          <w:szCs w:val="20"/>
        </w:rPr>
        <w:t xml:space="preserve">Examples: </w:t>
      </w:r>
    </w:p>
    <w:p w14:paraId="0C0E2DF1" w14:textId="77777777" w:rsidR="00D23CC1" w:rsidRPr="00C23FDF" w:rsidRDefault="00000000">
      <w:pPr>
        <w:numPr>
          <w:ilvl w:val="0"/>
          <w:numId w:val="3"/>
        </w:numPr>
        <w:pBdr>
          <w:top w:val="nil"/>
          <w:left w:val="nil"/>
          <w:bottom w:val="nil"/>
          <w:right w:val="nil"/>
          <w:between w:val="nil"/>
        </w:pBdr>
        <w:ind w:left="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J. O. Williams, “Narrow-band analyzer,” Ph.D. dissertation, Dept. Elect. Eng., Harvard Univ., Cambridge, MA, USA, 1993. </w:t>
      </w:r>
    </w:p>
    <w:p w14:paraId="17052203" w14:textId="77777777" w:rsidR="00D23CC1" w:rsidRPr="00C23FDF" w:rsidRDefault="00000000">
      <w:pPr>
        <w:numPr>
          <w:ilvl w:val="0"/>
          <w:numId w:val="3"/>
        </w:numPr>
        <w:pBdr>
          <w:top w:val="nil"/>
          <w:left w:val="nil"/>
          <w:bottom w:val="nil"/>
          <w:right w:val="nil"/>
          <w:between w:val="nil"/>
        </w:pBdr>
        <w:ind w:left="426"/>
        <w:jc w:val="both"/>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N. Kawasaki, “Parametric study of thermal and chemical nonequilibrium nozzle flow,” M.S. thesis, Dept. Electron. Eng., Osaka Univ., Osaka, Japan, 1993. </w:t>
      </w:r>
    </w:p>
    <w:p w14:paraId="3AF68E0E" w14:textId="77777777" w:rsidR="00D23CC1" w:rsidRPr="00C23FDF" w:rsidRDefault="00D23CC1">
      <w:pPr>
        <w:pBdr>
          <w:top w:val="nil"/>
          <w:left w:val="nil"/>
          <w:bottom w:val="nil"/>
          <w:right w:val="nil"/>
          <w:between w:val="nil"/>
        </w:pBdr>
        <w:rPr>
          <w:rFonts w:ascii="Tw Cen MT" w:eastAsia="Twentieth Century" w:hAnsi="Tw Cen MT" w:cs="Twentieth Century"/>
          <w:color w:val="000000"/>
          <w:sz w:val="20"/>
          <w:szCs w:val="20"/>
        </w:rPr>
      </w:pPr>
    </w:p>
    <w:p w14:paraId="1FB47512" w14:textId="77777777" w:rsidR="00D23CC1" w:rsidRPr="00C23FDF" w:rsidRDefault="00000000">
      <w:pPr>
        <w:rPr>
          <w:rFonts w:ascii="Tw Cen MT" w:eastAsia="Twentieth Century" w:hAnsi="Tw Cen MT" w:cs="Twentieth Century"/>
          <w:color w:val="000000"/>
          <w:sz w:val="20"/>
          <w:szCs w:val="20"/>
        </w:rPr>
      </w:pPr>
      <w:r w:rsidRPr="00C23FDF">
        <w:rPr>
          <w:rFonts w:ascii="Tw Cen MT" w:eastAsia="Twentieth Century" w:hAnsi="Tw Cen MT" w:cs="Twentieth Century"/>
          <w:color w:val="000000"/>
          <w:sz w:val="20"/>
          <w:szCs w:val="20"/>
        </w:rPr>
        <w:t xml:space="preserve">*In the reference list, however, list all the authors for up to six authors. Use </w:t>
      </w:r>
      <w:r w:rsidRPr="00C23FDF">
        <w:rPr>
          <w:rFonts w:ascii="Tw Cen MT" w:eastAsia="Twentieth Century" w:hAnsi="Tw Cen MT" w:cs="Twentieth Century"/>
          <w:i/>
          <w:iCs/>
          <w:color w:val="000000"/>
          <w:sz w:val="20"/>
          <w:szCs w:val="20"/>
        </w:rPr>
        <w:t>et al.</w:t>
      </w:r>
      <w:r w:rsidRPr="00C23FDF">
        <w:rPr>
          <w:rFonts w:ascii="Tw Cen MT" w:eastAsia="Twentieth Century" w:hAnsi="Tw Cen MT" w:cs="Twentieth Century"/>
          <w:color w:val="000000"/>
          <w:sz w:val="20"/>
          <w:szCs w:val="20"/>
        </w:rPr>
        <w:t xml:space="preserve"> only if: 1) The names are not given and 2) List of authors more than 6. </w:t>
      </w:r>
      <w:r w:rsidRPr="00C23FDF">
        <w:rPr>
          <w:rFonts w:ascii="Tw Cen MT" w:eastAsia="Twentieth Century" w:hAnsi="Tw Cen MT" w:cs="Twentieth Century"/>
          <w:i/>
          <w:iCs/>
          <w:color w:val="000000"/>
          <w:sz w:val="20"/>
          <w:szCs w:val="20"/>
        </w:rPr>
        <w:t>Example</w:t>
      </w:r>
      <w:r w:rsidRPr="00C23FDF">
        <w:rPr>
          <w:rFonts w:ascii="Tw Cen MT" w:eastAsia="Twentieth Century" w:hAnsi="Tw Cen MT" w:cs="Twentieth Century"/>
          <w:color w:val="000000"/>
          <w:sz w:val="20"/>
          <w:szCs w:val="20"/>
        </w:rPr>
        <w:t xml:space="preserve">: J. D. Bellamy </w:t>
      </w:r>
      <w:r w:rsidRPr="00C23FDF">
        <w:rPr>
          <w:rFonts w:ascii="Tw Cen MT" w:eastAsia="Twentieth Century" w:hAnsi="Tw Cen MT" w:cs="Twentieth Century"/>
          <w:i/>
          <w:iCs/>
          <w:color w:val="000000"/>
          <w:sz w:val="20"/>
          <w:szCs w:val="20"/>
        </w:rPr>
        <w:t>et al.</w:t>
      </w:r>
      <w:r w:rsidRPr="00C23FDF">
        <w:rPr>
          <w:rFonts w:ascii="Tw Cen MT" w:eastAsia="Twentieth Century" w:hAnsi="Tw Cen MT" w:cs="Twentieth Century"/>
          <w:color w:val="000000"/>
          <w:sz w:val="20"/>
          <w:szCs w:val="20"/>
        </w:rPr>
        <w:t>, Computer Telephony Integration, New York: Wiley, 2010.</w:t>
      </w:r>
    </w:p>
    <w:p w14:paraId="68FC000A" w14:textId="77777777" w:rsidR="00D23CC1" w:rsidRPr="00C23FDF" w:rsidRDefault="00D23CC1">
      <w:pPr>
        <w:jc w:val="both"/>
        <w:rPr>
          <w:rFonts w:ascii="Tw Cen MT" w:hAnsi="Tw Cen MT"/>
          <w:i/>
          <w:iCs/>
          <w:color w:val="000000"/>
          <w:sz w:val="18"/>
          <w:szCs w:val="18"/>
        </w:rPr>
      </w:pPr>
    </w:p>
    <w:p w14:paraId="269A6AEF" w14:textId="77777777" w:rsidR="00D23CC1" w:rsidRPr="00C23FDF" w:rsidRDefault="00000000">
      <w:pPr>
        <w:jc w:val="both"/>
        <w:rPr>
          <w:rFonts w:ascii="Tw Cen MT" w:eastAsia="Twentieth Century" w:hAnsi="Tw Cen MT" w:cs="Twentieth Century"/>
          <w:color w:val="000000"/>
        </w:rPr>
      </w:pPr>
      <w:r w:rsidRPr="00C23FDF">
        <w:rPr>
          <w:rFonts w:ascii="Tw Cen MT" w:eastAsia="Twentieth Century" w:hAnsi="Tw Cen MT" w:cs="Twentieth Century"/>
          <w:color w:val="000000"/>
        </w:rPr>
        <w:t>Contoh penulisan referensi:</w:t>
      </w:r>
    </w:p>
    <w:p w14:paraId="0D050A80" w14:textId="77777777" w:rsidR="00D23CC1" w:rsidRPr="00C23FDF" w:rsidRDefault="00000000">
      <w:pPr>
        <w:spacing w:after="240"/>
        <w:jc w:val="both"/>
        <w:rPr>
          <w:rFonts w:ascii="Tw Cen MT" w:eastAsia="Twentieth Century" w:hAnsi="Tw Cen MT" w:cs="Twentieth Century"/>
          <w:color w:val="000000"/>
          <w:sz w:val="24"/>
          <w:szCs w:val="24"/>
        </w:rPr>
      </w:pPr>
      <w:bookmarkStart w:id="1" w:name="_bp06nw652i09" w:colFirst="0" w:colLast="0"/>
      <w:bookmarkEnd w:id="1"/>
      <w:r w:rsidRPr="00C23FDF">
        <w:rPr>
          <w:rFonts w:ascii="Tw Cen MT" w:eastAsia="Twentieth Century" w:hAnsi="Tw Cen MT" w:cs="Twentieth Century"/>
          <w:b/>
          <w:bCs/>
          <w:color w:val="000000"/>
          <w:sz w:val="24"/>
          <w:szCs w:val="24"/>
        </w:rPr>
        <w:t>REFERENSI</w:t>
      </w:r>
    </w:p>
    <w:p w14:paraId="15708268"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w:t>
      </w:r>
      <w:r w:rsidRPr="00C23FDF">
        <w:rPr>
          <w:rFonts w:ascii="Tw Cen MT" w:eastAsia="Twentieth Century" w:hAnsi="Tw Cen MT" w:cs="Twentieth Century"/>
          <w:sz w:val="20"/>
          <w:szCs w:val="20"/>
        </w:rPr>
        <w:tab/>
        <w:t xml:space="preserve">M. Sigala, A. Beer, L. Hodgson, and A. O’Connor, </w:t>
      </w:r>
      <w:r w:rsidRPr="00C23FDF">
        <w:rPr>
          <w:rFonts w:ascii="Tw Cen MT" w:eastAsia="Twentieth Century" w:hAnsi="Tw Cen MT" w:cs="Twentieth Century"/>
          <w:i/>
          <w:iCs/>
          <w:sz w:val="20"/>
          <w:szCs w:val="20"/>
        </w:rPr>
        <w:t>Big Data for Measuring the Impact of Tourism Economic Development Programmes: A Process and Quality Criteria Framework for Using Big Data</w:t>
      </w:r>
      <w:r w:rsidRPr="00C23FDF">
        <w:rPr>
          <w:rFonts w:ascii="Tw Cen MT" w:eastAsia="Twentieth Century" w:hAnsi="Tw Cen MT" w:cs="Twentieth Century"/>
          <w:sz w:val="20"/>
          <w:szCs w:val="20"/>
        </w:rPr>
        <w:t>. 2019.</w:t>
      </w:r>
    </w:p>
    <w:p w14:paraId="18478236"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[2]</w:t>
      </w:r>
      <w:r w:rsidRPr="00C23FDF">
        <w:rPr>
          <w:rFonts w:ascii="Tw Cen MT" w:eastAsia="Twentieth Century" w:hAnsi="Tw Cen MT" w:cs="Twentieth Century"/>
          <w:sz w:val="20"/>
          <w:szCs w:val="20"/>
        </w:rPr>
        <w:tab/>
        <w:t xml:space="preserve">G. Nguyen </w:t>
      </w:r>
      <w:r w:rsidRPr="00C23FDF">
        <w:rPr>
          <w:rFonts w:ascii="Tw Cen MT" w:eastAsia="Twentieth Century" w:hAnsi="Tw Cen MT" w:cs="Twentieth Century"/>
          <w:i/>
          <w:iCs/>
          <w:sz w:val="20"/>
          <w:szCs w:val="20"/>
        </w:rPr>
        <w:t>et al.</w:t>
      </w:r>
      <w:r w:rsidRPr="00C23FDF">
        <w:rPr>
          <w:rFonts w:ascii="Tw Cen MT" w:eastAsia="Twentieth Century" w:hAnsi="Tw Cen MT" w:cs="Twentieth Century"/>
          <w:sz w:val="20"/>
          <w:szCs w:val="20"/>
        </w:rPr>
        <w:t xml:space="preserve">, “Machine Learning and Deep Learning frameworks and libraries for large-scale data mining: a survey,” </w:t>
      </w:r>
      <w:r w:rsidRPr="00C23FDF">
        <w:rPr>
          <w:rFonts w:ascii="Tw Cen MT" w:eastAsia="Twentieth Century" w:hAnsi="Tw Cen MT" w:cs="Twentieth Century"/>
          <w:i/>
          <w:iCs/>
          <w:sz w:val="20"/>
          <w:szCs w:val="20"/>
        </w:rPr>
        <w:t>Artif. Intell. Rev.</w:t>
      </w:r>
      <w:r w:rsidRPr="00C23FDF">
        <w:rPr>
          <w:rFonts w:ascii="Tw Cen MT" w:eastAsia="Twentieth Century" w:hAnsi="Tw Cen MT" w:cs="Twentieth Century"/>
          <w:sz w:val="20"/>
          <w:szCs w:val="20"/>
        </w:rPr>
        <w:t>, vol. 52, no. 1, pp. 77–124, 2019, doi: 10.1007/s10462-018-09679-z.</w:t>
      </w:r>
    </w:p>
    <w:p w14:paraId="0A5B0E76"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[3]</w:t>
      </w:r>
      <w:r w:rsidRPr="00C23FDF">
        <w:rPr>
          <w:rFonts w:ascii="Tw Cen MT" w:eastAsia="Twentieth Century" w:hAnsi="Tw Cen MT" w:cs="Twentieth Century"/>
          <w:sz w:val="20"/>
          <w:szCs w:val="20"/>
        </w:rPr>
        <w:tab/>
        <w:t xml:space="preserve">C. Shorten and T. M. Khoshgoftaar, “A survey on Image Data Augmentation for Deep Learning,” </w:t>
      </w:r>
      <w:r w:rsidRPr="00C23FDF">
        <w:rPr>
          <w:rFonts w:ascii="Tw Cen MT" w:eastAsia="Twentieth Century" w:hAnsi="Tw Cen MT" w:cs="Twentieth Century"/>
          <w:i/>
          <w:iCs/>
          <w:sz w:val="20"/>
          <w:szCs w:val="20"/>
        </w:rPr>
        <w:t>J. Big Data</w:t>
      </w:r>
      <w:r w:rsidRPr="00C23FDF">
        <w:rPr>
          <w:rFonts w:ascii="Tw Cen MT" w:eastAsia="Twentieth Century" w:hAnsi="Tw Cen MT" w:cs="Twentieth Century"/>
          <w:sz w:val="20"/>
          <w:szCs w:val="20"/>
        </w:rPr>
        <w:t>, vol. 6, no. 1, 2019, doi: 10.1186/s40537-019-0197-0.</w:t>
      </w:r>
    </w:p>
    <w:p w14:paraId="62468B39"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[4]</w:t>
      </w:r>
      <w:r w:rsidRPr="00C23FDF">
        <w:rPr>
          <w:rFonts w:ascii="Tw Cen MT" w:eastAsia="Twentieth Century" w:hAnsi="Tw Cen MT" w:cs="Twentieth Century"/>
          <w:sz w:val="20"/>
          <w:szCs w:val="20"/>
        </w:rPr>
        <w:tab/>
        <w:t xml:space="preserve">R. Vinayakumar, M. Alazab, K. P. Soman, P. Poornachandran, A. Al-Nemrat, and S. Venkatraman, “Deep Learning Approach for Intelligent Intrusion Detection System,” </w:t>
      </w:r>
      <w:r w:rsidRPr="00C23FDF">
        <w:rPr>
          <w:rFonts w:ascii="Tw Cen MT" w:eastAsia="Twentieth Century" w:hAnsi="Tw Cen MT" w:cs="Twentieth Century"/>
          <w:i/>
          <w:iCs/>
          <w:sz w:val="20"/>
          <w:szCs w:val="20"/>
        </w:rPr>
        <w:t>IEEE Access</w:t>
      </w:r>
      <w:r w:rsidRPr="00C23FDF">
        <w:rPr>
          <w:rFonts w:ascii="Tw Cen MT" w:eastAsia="Twentieth Century" w:hAnsi="Tw Cen MT" w:cs="Twentieth Century"/>
          <w:sz w:val="20"/>
          <w:szCs w:val="20"/>
        </w:rPr>
        <w:t>, vol. 7, pp. 41525–41550, 2019, doi: 10.1109/ACCESS.2019.2895334.</w:t>
      </w:r>
    </w:p>
    <w:p w14:paraId="4757F90D"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[5]</w:t>
      </w:r>
      <w:r w:rsidRPr="00C23FDF">
        <w:rPr>
          <w:rFonts w:ascii="Tw Cen MT" w:eastAsia="Twentieth Century" w:hAnsi="Tw Cen MT" w:cs="Twentieth Century"/>
          <w:sz w:val="20"/>
          <w:szCs w:val="20"/>
        </w:rPr>
        <w:tab/>
        <w:t xml:space="preserve">K. Sivaraman, R. M. V. Krishnan, B. Sundarraj, and S. Sri Gowthem, “Network failure detection and diagnosis by analyzing syslog and SNS data: Applying big data analysis to network operations,” </w:t>
      </w:r>
      <w:r w:rsidRPr="00C23FDF">
        <w:rPr>
          <w:rFonts w:ascii="Tw Cen MT" w:eastAsia="Twentieth Century" w:hAnsi="Tw Cen MT" w:cs="Twentieth Century"/>
          <w:i/>
          <w:iCs/>
          <w:sz w:val="20"/>
          <w:szCs w:val="20"/>
        </w:rPr>
        <w:t xml:space="preserve">Int. J. Innov. Technol. </w:t>
      </w:r>
      <w:r w:rsidRPr="00C23FDF">
        <w:rPr>
          <w:rFonts w:ascii="Tw Cen MT" w:eastAsia="Twentieth Century" w:hAnsi="Tw Cen MT" w:cs="Twentieth Century"/>
          <w:i/>
          <w:iCs/>
          <w:sz w:val="20"/>
          <w:szCs w:val="20"/>
        </w:rPr>
        <w:lastRenderedPageBreak/>
        <w:t>Explor. Eng.</w:t>
      </w:r>
      <w:r w:rsidRPr="00C23FDF">
        <w:rPr>
          <w:rFonts w:ascii="Tw Cen MT" w:eastAsia="Twentieth Century" w:hAnsi="Tw Cen MT" w:cs="Twentieth Century"/>
          <w:sz w:val="20"/>
          <w:szCs w:val="20"/>
        </w:rPr>
        <w:t>, vol. 8, no. 9 Special Issue 3, pp. 883–887, 2019, doi: 10.35940/ijitee.I3187.0789S319.</w:t>
      </w:r>
    </w:p>
    <w:p w14:paraId="14FA3E6B"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[6]</w:t>
      </w:r>
      <w:r w:rsidRPr="00C23FDF">
        <w:rPr>
          <w:rFonts w:ascii="Tw Cen MT" w:eastAsia="Twentieth Century" w:hAnsi="Tw Cen MT" w:cs="Twentieth Century"/>
          <w:sz w:val="20"/>
          <w:szCs w:val="20"/>
        </w:rPr>
        <w:tab/>
        <w:t xml:space="preserve">A. D. Dwivedi, G. Srivastava, S. Dhar, and R. Singh, “A decentralized privacy-preserving healthcare blockchain for IoT,” </w:t>
      </w:r>
      <w:r w:rsidRPr="00C23FDF">
        <w:rPr>
          <w:rFonts w:ascii="Tw Cen MT" w:eastAsia="Twentieth Century" w:hAnsi="Tw Cen MT" w:cs="Twentieth Century"/>
          <w:i/>
          <w:iCs/>
          <w:sz w:val="20"/>
          <w:szCs w:val="20"/>
        </w:rPr>
        <w:t>Sensors (Switzerland)</w:t>
      </w:r>
      <w:r w:rsidRPr="00C23FDF">
        <w:rPr>
          <w:rFonts w:ascii="Tw Cen MT" w:eastAsia="Twentieth Century" w:hAnsi="Tw Cen MT" w:cs="Twentieth Century"/>
          <w:sz w:val="20"/>
          <w:szCs w:val="20"/>
        </w:rPr>
        <w:t>, vol. 19, no. 2, pp. 1–17, 2019, doi: 10.3390/s19020326.</w:t>
      </w:r>
    </w:p>
    <w:p w14:paraId="5F39486A"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[7]</w:t>
      </w:r>
      <w:r w:rsidRPr="00C23FDF">
        <w:rPr>
          <w:rFonts w:ascii="Tw Cen MT" w:eastAsia="Twentieth Century" w:hAnsi="Tw Cen MT" w:cs="Twentieth Century"/>
          <w:sz w:val="20"/>
          <w:szCs w:val="20"/>
        </w:rPr>
        <w:tab/>
        <w:t xml:space="preserve">F. Al-Turjman, H. Zahmatkesh, and L. Mostarda, “Quantifying uncertainty in internet of medical things and big-data services using intelligence and deep learning,” </w:t>
      </w:r>
      <w:r w:rsidRPr="00C23FDF">
        <w:rPr>
          <w:rFonts w:ascii="Tw Cen MT" w:eastAsia="Twentieth Century" w:hAnsi="Tw Cen MT" w:cs="Twentieth Century"/>
          <w:i/>
          <w:iCs/>
          <w:sz w:val="20"/>
          <w:szCs w:val="20"/>
        </w:rPr>
        <w:t>IEEE Access</w:t>
      </w:r>
      <w:r w:rsidRPr="00C23FDF">
        <w:rPr>
          <w:rFonts w:ascii="Tw Cen MT" w:eastAsia="Twentieth Century" w:hAnsi="Tw Cen MT" w:cs="Twentieth Century"/>
          <w:sz w:val="20"/>
          <w:szCs w:val="20"/>
        </w:rPr>
        <w:t>, vol. 7, pp. 115749–115759, 2019, doi: 10.1109/ACCESS.2019.2931637.</w:t>
      </w:r>
    </w:p>
    <w:p w14:paraId="339BF788"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[8]</w:t>
      </w:r>
      <w:r w:rsidRPr="00C23FDF">
        <w:rPr>
          <w:rFonts w:ascii="Tw Cen MT" w:eastAsia="Twentieth Century" w:hAnsi="Tw Cen MT" w:cs="Twentieth Century"/>
          <w:sz w:val="20"/>
          <w:szCs w:val="20"/>
        </w:rPr>
        <w:tab/>
        <w:t xml:space="preserve">S. Kumar and M. Singh, “Big data analytics for healthcare industry: Impact, applications, and tools,” </w:t>
      </w:r>
      <w:r w:rsidRPr="00C23FDF">
        <w:rPr>
          <w:rFonts w:ascii="Tw Cen MT" w:eastAsia="Twentieth Century" w:hAnsi="Tw Cen MT" w:cs="Twentieth Century"/>
          <w:i/>
          <w:iCs/>
          <w:sz w:val="20"/>
          <w:szCs w:val="20"/>
        </w:rPr>
        <w:t>Big Data Min. Anal.</w:t>
      </w:r>
      <w:r w:rsidRPr="00C23FDF">
        <w:rPr>
          <w:rFonts w:ascii="Tw Cen MT" w:eastAsia="Twentieth Century" w:hAnsi="Tw Cen MT" w:cs="Twentieth Century"/>
          <w:sz w:val="20"/>
          <w:szCs w:val="20"/>
        </w:rPr>
        <w:t>, vol. 2, no. 1, pp. 48–57, 2019, doi: 10.26599/BDMA.2018.9020031.</w:t>
      </w:r>
    </w:p>
    <w:p w14:paraId="0173DAE7"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[9]</w:t>
      </w:r>
      <w:r w:rsidRPr="00C23FDF">
        <w:rPr>
          <w:rFonts w:ascii="Tw Cen MT" w:eastAsia="Twentieth Century" w:hAnsi="Tw Cen MT" w:cs="Twentieth Century"/>
          <w:sz w:val="20"/>
          <w:szCs w:val="20"/>
        </w:rPr>
        <w:tab/>
        <w:t xml:space="preserve">L. M. Ang, K. P. Seng, G. K. Ijemaru, and A. M. Zungeru, “Deployment of IoV for Smart Cities: Applications, Architecture, and Challenges,” </w:t>
      </w:r>
      <w:r w:rsidRPr="00C23FDF">
        <w:rPr>
          <w:rFonts w:ascii="Tw Cen MT" w:eastAsia="Twentieth Century" w:hAnsi="Tw Cen MT" w:cs="Twentieth Century"/>
          <w:i/>
          <w:iCs/>
          <w:sz w:val="20"/>
          <w:szCs w:val="20"/>
        </w:rPr>
        <w:t>IEEE Access</w:t>
      </w:r>
      <w:r w:rsidRPr="00C23FDF">
        <w:rPr>
          <w:rFonts w:ascii="Tw Cen MT" w:eastAsia="Twentieth Century" w:hAnsi="Tw Cen MT" w:cs="Twentieth Century"/>
          <w:sz w:val="20"/>
          <w:szCs w:val="20"/>
        </w:rPr>
        <w:t>, vol. 7, pp. 6473–6492, 2019, doi: 10.1109/ACCESS.2018.2887076.</w:t>
      </w:r>
    </w:p>
    <w:p w14:paraId="54A16FC3"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[10]</w:t>
      </w:r>
      <w:r w:rsidRPr="00C23FDF">
        <w:rPr>
          <w:rFonts w:ascii="Tw Cen MT" w:eastAsia="Twentieth Century" w:hAnsi="Tw Cen MT" w:cs="Twentieth Century"/>
          <w:sz w:val="20"/>
          <w:szCs w:val="20"/>
        </w:rPr>
        <w:tab/>
        <w:t xml:space="preserve">B. P. L. Lau </w:t>
      </w:r>
      <w:r w:rsidRPr="00C23FDF">
        <w:rPr>
          <w:rFonts w:ascii="Tw Cen MT" w:eastAsia="Twentieth Century" w:hAnsi="Tw Cen MT" w:cs="Twentieth Century"/>
          <w:i/>
          <w:iCs/>
          <w:sz w:val="20"/>
          <w:szCs w:val="20"/>
        </w:rPr>
        <w:t>et al.</w:t>
      </w:r>
      <w:r w:rsidRPr="00C23FDF">
        <w:rPr>
          <w:rFonts w:ascii="Tw Cen MT" w:eastAsia="Twentieth Century" w:hAnsi="Tw Cen MT" w:cs="Twentieth Century"/>
          <w:sz w:val="20"/>
          <w:szCs w:val="20"/>
        </w:rPr>
        <w:t xml:space="preserve">, “A survey of data fusion in smart city applications,” </w:t>
      </w:r>
      <w:r w:rsidRPr="00C23FDF">
        <w:rPr>
          <w:rFonts w:ascii="Tw Cen MT" w:eastAsia="Twentieth Century" w:hAnsi="Tw Cen MT" w:cs="Twentieth Century"/>
          <w:i/>
          <w:iCs/>
          <w:sz w:val="20"/>
          <w:szCs w:val="20"/>
        </w:rPr>
        <w:t>Inf. Fusion</w:t>
      </w:r>
      <w:r w:rsidRPr="00C23FDF">
        <w:rPr>
          <w:rFonts w:ascii="Tw Cen MT" w:eastAsia="Twentieth Century" w:hAnsi="Tw Cen MT" w:cs="Twentieth Century"/>
          <w:sz w:val="20"/>
          <w:szCs w:val="20"/>
        </w:rPr>
        <w:t>, vol. 52, no. January, pp. 357–374, 2019, doi: 10.1016/j.inffus.2019.05.004.</w:t>
      </w:r>
    </w:p>
    <w:p w14:paraId="50496D3F"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[11]</w:t>
      </w:r>
      <w:r w:rsidRPr="00C23FDF">
        <w:rPr>
          <w:rFonts w:ascii="Tw Cen MT" w:eastAsia="Twentieth Century" w:hAnsi="Tw Cen MT" w:cs="Twentieth Century"/>
          <w:sz w:val="20"/>
          <w:szCs w:val="20"/>
        </w:rPr>
        <w:tab/>
        <w:t xml:space="preserve">Y. Wu </w:t>
      </w:r>
      <w:r w:rsidRPr="00C23FDF">
        <w:rPr>
          <w:rFonts w:ascii="Tw Cen MT" w:eastAsia="Twentieth Century" w:hAnsi="Tw Cen MT" w:cs="Twentieth Century"/>
          <w:i/>
          <w:iCs/>
          <w:sz w:val="20"/>
          <w:szCs w:val="20"/>
        </w:rPr>
        <w:t>et al.</w:t>
      </w:r>
      <w:r w:rsidRPr="00C23FDF">
        <w:rPr>
          <w:rFonts w:ascii="Tw Cen MT" w:eastAsia="Twentieth Century" w:hAnsi="Tw Cen MT" w:cs="Twentieth Century"/>
          <w:sz w:val="20"/>
          <w:szCs w:val="20"/>
        </w:rPr>
        <w:t xml:space="preserve">, “Large scale incremental learning,” </w:t>
      </w:r>
      <w:r w:rsidRPr="00C23FDF">
        <w:rPr>
          <w:rFonts w:ascii="Tw Cen MT" w:eastAsia="Twentieth Century" w:hAnsi="Tw Cen MT" w:cs="Twentieth Century"/>
          <w:i/>
          <w:iCs/>
          <w:sz w:val="20"/>
          <w:szCs w:val="20"/>
        </w:rPr>
        <w:t>Proc. IEEE Comput. Soc. Conf. Comput. Vis. Pattern Recognit.</w:t>
      </w:r>
      <w:r w:rsidRPr="00C23FDF">
        <w:rPr>
          <w:rFonts w:ascii="Tw Cen MT" w:eastAsia="Twentieth Century" w:hAnsi="Tw Cen MT" w:cs="Twentieth Century"/>
          <w:sz w:val="20"/>
          <w:szCs w:val="20"/>
        </w:rPr>
        <w:t>, vol. 2019-June, pp. 374–382, 2019, doi: 10.1109/CVPR.2019.00046.</w:t>
      </w:r>
    </w:p>
    <w:p w14:paraId="2BF0F449"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[12]</w:t>
      </w:r>
      <w:r w:rsidRPr="00C23FDF">
        <w:rPr>
          <w:rFonts w:ascii="Tw Cen MT" w:eastAsia="Twentieth Century" w:hAnsi="Tw Cen MT" w:cs="Twentieth Century"/>
          <w:sz w:val="20"/>
          <w:szCs w:val="20"/>
        </w:rPr>
        <w:tab/>
        <w:t xml:space="preserve">A. Mosavi, S. Shamshirband, E. Salwana, K. wing Chau, and J. H. M. Tah, “Prediction of multi-inputs bubble column reactor using a novel hybrid model of computational fluid dynamics and machine learning,” </w:t>
      </w:r>
      <w:r w:rsidRPr="00C23FDF">
        <w:rPr>
          <w:rFonts w:ascii="Tw Cen MT" w:eastAsia="Twentieth Century" w:hAnsi="Tw Cen MT" w:cs="Twentieth Century"/>
          <w:i/>
          <w:iCs/>
          <w:sz w:val="20"/>
          <w:szCs w:val="20"/>
        </w:rPr>
        <w:t>Eng. Appl. Comput. Fluid Mech.</w:t>
      </w:r>
      <w:r w:rsidRPr="00C23FDF">
        <w:rPr>
          <w:rFonts w:ascii="Tw Cen MT" w:eastAsia="Twentieth Century" w:hAnsi="Tw Cen MT" w:cs="Twentieth Century"/>
          <w:sz w:val="20"/>
          <w:szCs w:val="20"/>
        </w:rPr>
        <w:t>, vol. 13, no. 1, pp. 482–492, 2019, doi: 10.1080/19942060.2019.1613448.</w:t>
      </w:r>
    </w:p>
    <w:p w14:paraId="55D86BA9"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[13]</w:t>
      </w:r>
      <w:r w:rsidRPr="00C23FDF">
        <w:rPr>
          <w:rFonts w:ascii="Tw Cen MT" w:eastAsia="Twentieth Century" w:hAnsi="Tw Cen MT" w:cs="Twentieth Century"/>
          <w:sz w:val="20"/>
          <w:szCs w:val="20"/>
        </w:rPr>
        <w:tab/>
        <w:t xml:space="preserve">V. Palanisamy and R. Thirunavukarasu, “Implications of big data analytics in developing healthcare frameworks – A review,” </w:t>
      </w:r>
      <w:r w:rsidRPr="00C23FDF">
        <w:rPr>
          <w:rFonts w:ascii="Tw Cen MT" w:eastAsia="Twentieth Century" w:hAnsi="Tw Cen MT" w:cs="Twentieth Century"/>
          <w:i/>
          <w:iCs/>
          <w:sz w:val="20"/>
          <w:szCs w:val="20"/>
        </w:rPr>
        <w:t>J. King Saud Univ. - Comput. Inf. Sci.</w:t>
      </w:r>
      <w:r w:rsidRPr="00C23FDF">
        <w:rPr>
          <w:rFonts w:ascii="Tw Cen MT" w:eastAsia="Twentieth Century" w:hAnsi="Tw Cen MT" w:cs="Twentieth Century"/>
          <w:sz w:val="20"/>
          <w:szCs w:val="20"/>
        </w:rPr>
        <w:t>, vol. 31, no. 4, pp. 415–425, 2019, doi: 10.1016/j.jksuci.2017.12.007.</w:t>
      </w:r>
    </w:p>
    <w:p w14:paraId="6AA715BF"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[14]</w:t>
      </w:r>
      <w:r w:rsidRPr="00C23FDF">
        <w:rPr>
          <w:rFonts w:ascii="Tw Cen MT" w:eastAsia="Twentieth Century" w:hAnsi="Tw Cen MT" w:cs="Twentieth Century"/>
          <w:sz w:val="20"/>
          <w:szCs w:val="20"/>
        </w:rPr>
        <w:tab/>
        <w:t xml:space="preserve">J. Sadowski, “When data is capital: Datafication, accumulation, and extraction,” </w:t>
      </w:r>
      <w:r w:rsidRPr="00C23FDF">
        <w:rPr>
          <w:rFonts w:ascii="Tw Cen MT" w:eastAsia="Twentieth Century" w:hAnsi="Tw Cen MT" w:cs="Twentieth Century"/>
          <w:i/>
          <w:iCs/>
          <w:sz w:val="20"/>
          <w:szCs w:val="20"/>
        </w:rPr>
        <w:t>Big Data Soc.</w:t>
      </w:r>
      <w:r w:rsidRPr="00C23FDF">
        <w:rPr>
          <w:rFonts w:ascii="Tw Cen MT" w:eastAsia="Twentieth Century" w:hAnsi="Tw Cen MT" w:cs="Twentieth Century"/>
          <w:sz w:val="20"/>
          <w:szCs w:val="20"/>
        </w:rPr>
        <w:t>, vol. 6, no. 1, pp. 1–12, 2019, doi: 10.1177/2053951718820549.</w:t>
      </w:r>
    </w:p>
    <w:p w14:paraId="26FA3B0C"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[15]</w:t>
      </w:r>
      <w:r w:rsidRPr="00C23FDF">
        <w:rPr>
          <w:rFonts w:ascii="Tw Cen MT" w:eastAsia="Twentieth Century" w:hAnsi="Tw Cen MT" w:cs="Twentieth Century"/>
          <w:sz w:val="20"/>
          <w:szCs w:val="20"/>
        </w:rPr>
        <w:tab/>
        <w:t xml:space="preserve">J. R. Saura, B. R. Herraez, and A. Reyes-Menendez, “Comparing a traditional approach for financial brand communication analysis with a big data analytics technique,” </w:t>
      </w:r>
      <w:r w:rsidRPr="00C23FDF">
        <w:rPr>
          <w:rFonts w:ascii="Tw Cen MT" w:eastAsia="Twentieth Century" w:hAnsi="Tw Cen MT" w:cs="Twentieth Century"/>
          <w:i/>
          <w:iCs/>
          <w:sz w:val="20"/>
          <w:szCs w:val="20"/>
        </w:rPr>
        <w:t>IEEE Access</w:t>
      </w:r>
      <w:r w:rsidRPr="00C23FDF">
        <w:rPr>
          <w:rFonts w:ascii="Tw Cen MT" w:eastAsia="Twentieth Century" w:hAnsi="Tw Cen MT" w:cs="Twentieth Century"/>
          <w:sz w:val="20"/>
          <w:szCs w:val="20"/>
        </w:rPr>
        <w:t>, vol. 7, pp. 37100–37108, 2019, doi: 10.1109/ACCESS.2019.2905301.</w:t>
      </w:r>
    </w:p>
    <w:p w14:paraId="68B7FC18"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[16]</w:t>
      </w:r>
      <w:r w:rsidRPr="00C23FDF">
        <w:rPr>
          <w:rFonts w:ascii="Tw Cen MT" w:eastAsia="Twentieth Century" w:hAnsi="Tw Cen MT" w:cs="Twentieth Century"/>
          <w:sz w:val="20"/>
          <w:szCs w:val="20"/>
        </w:rPr>
        <w:tab/>
        <w:t xml:space="preserve">D. Nallaperuma </w:t>
      </w:r>
      <w:r w:rsidRPr="00C23FDF">
        <w:rPr>
          <w:rFonts w:ascii="Tw Cen MT" w:eastAsia="Twentieth Century" w:hAnsi="Tw Cen MT" w:cs="Twentieth Century"/>
          <w:i/>
          <w:iCs/>
          <w:sz w:val="20"/>
          <w:szCs w:val="20"/>
        </w:rPr>
        <w:t>et al.</w:t>
      </w:r>
      <w:r w:rsidRPr="00C23FDF">
        <w:rPr>
          <w:rFonts w:ascii="Tw Cen MT" w:eastAsia="Twentieth Century" w:hAnsi="Tw Cen MT" w:cs="Twentieth Century"/>
          <w:sz w:val="20"/>
          <w:szCs w:val="20"/>
        </w:rPr>
        <w:t xml:space="preserve">, “Online Incremental Machine Learning Platform for Big Data-Driven Smart Traffic Management,” </w:t>
      </w:r>
      <w:r w:rsidRPr="00C23FDF">
        <w:rPr>
          <w:rFonts w:ascii="Tw Cen MT" w:eastAsia="Twentieth Century" w:hAnsi="Tw Cen MT" w:cs="Twentieth Century"/>
          <w:i/>
          <w:iCs/>
          <w:sz w:val="20"/>
          <w:szCs w:val="20"/>
        </w:rPr>
        <w:t>IEEE Trans. Intell. Transp. Syst.</w:t>
      </w:r>
      <w:r w:rsidRPr="00C23FDF">
        <w:rPr>
          <w:rFonts w:ascii="Tw Cen MT" w:eastAsia="Twentieth Century" w:hAnsi="Tw Cen MT" w:cs="Twentieth Century"/>
          <w:sz w:val="20"/>
          <w:szCs w:val="20"/>
        </w:rPr>
        <w:t>, vol. 20, no. 12, pp. 4679–4690, 2019, doi: 10.1109/TITS.2019.2924883.</w:t>
      </w:r>
    </w:p>
    <w:p w14:paraId="754F2285"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[17]</w:t>
      </w:r>
      <w:r w:rsidRPr="00C23FDF">
        <w:rPr>
          <w:rFonts w:ascii="Tw Cen MT" w:eastAsia="Twentieth Century" w:hAnsi="Tw Cen MT" w:cs="Twentieth Century"/>
          <w:sz w:val="20"/>
          <w:szCs w:val="20"/>
        </w:rPr>
        <w:tab/>
        <w:t xml:space="preserve">S. Schulz, M. Becker, M. R. Groseclose, S. Schadt, and C. Hopf, “Advanced MALDI mass spectrometry imaging in pharmaceutical research and drug development,” </w:t>
      </w:r>
      <w:r w:rsidRPr="00C23FDF">
        <w:rPr>
          <w:rFonts w:ascii="Tw Cen MT" w:eastAsia="Twentieth Century" w:hAnsi="Tw Cen MT" w:cs="Twentieth Century"/>
          <w:i/>
          <w:iCs/>
          <w:sz w:val="20"/>
          <w:szCs w:val="20"/>
        </w:rPr>
        <w:t>Curr. Opin. Biotechnol.</w:t>
      </w:r>
      <w:r w:rsidRPr="00C23FDF">
        <w:rPr>
          <w:rFonts w:ascii="Tw Cen MT" w:eastAsia="Twentieth Century" w:hAnsi="Tw Cen MT" w:cs="Twentieth Century"/>
          <w:sz w:val="20"/>
          <w:szCs w:val="20"/>
        </w:rPr>
        <w:t>, vol. 55, pp. 51–59, 2019, doi: 10.1016/j.copbio.2018.08.003.</w:t>
      </w:r>
    </w:p>
    <w:p w14:paraId="77EC478B"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[18]</w:t>
      </w:r>
      <w:r w:rsidRPr="00C23FDF">
        <w:rPr>
          <w:rFonts w:ascii="Tw Cen MT" w:eastAsia="Twentieth Century" w:hAnsi="Tw Cen MT" w:cs="Twentieth Century"/>
          <w:sz w:val="20"/>
          <w:szCs w:val="20"/>
        </w:rPr>
        <w:tab/>
        <w:t xml:space="preserve">C. Shang and F. You, “Data Analytics and Machine Learning for Smart Process Manufacturing: Recent Advances and Perspectives in the Big Data Era,” </w:t>
      </w:r>
      <w:r w:rsidRPr="00C23FDF">
        <w:rPr>
          <w:rFonts w:ascii="Tw Cen MT" w:eastAsia="Twentieth Century" w:hAnsi="Tw Cen MT" w:cs="Twentieth Century"/>
          <w:i/>
          <w:iCs/>
          <w:sz w:val="20"/>
          <w:szCs w:val="20"/>
        </w:rPr>
        <w:t>Engineering</w:t>
      </w:r>
      <w:r w:rsidRPr="00C23FDF">
        <w:rPr>
          <w:rFonts w:ascii="Tw Cen MT" w:eastAsia="Twentieth Century" w:hAnsi="Tw Cen MT" w:cs="Twentieth Century"/>
          <w:sz w:val="20"/>
          <w:szCs w:val="20"/>
        </w:rPr>
        <w:t>, vol. 5, no. 6, pp. 1010–1016, 2019, doi: 10.1016/j.eng.2019.01.019.</w:t>
      </w:r>
    </w:p>
    <w:p w14:paraId="3E8189D2"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[19]</w:t>
      </w:r>
      <w:r w:rsidRPr="00C23FDF">
        <w:rPr>
          <w:rFonts w:ascii="Tw Cen MT" w:eastAsia="Twentieth Century" w:hAnsi="Tw Cen MT" w:cs="Twentieth Century"/>
          <w:sz w:val="20"/>
          <w:szCs w:val="20"/>
        </w:rPr>
        <w:tab/>
        <w:t xml:space="preserve">Y. Yu, M. Li, L. Liu, Y. Li, and J. Wang, “Clinical big data and deep learning: Applications, challenges, and future outlooks,” </w:t>
      </w:r>
      <w:r w:rsidRPr="00C23FDF">
        <w:rPr>
          <w:rFonts w:ascii="Tw Cen MT" w:eastAsia="Twentieth Century" w:hAnsi="Tw Cen MT" w:cs="Twentieth Century"/>
          <w:i/>
          <w:iCs/>
          <w:sz w:val="20"/>
          <w:szCs w:val="20"/>
        </w:rPr>
        <w:t>Big Data Min. Anal.</w:t>
      </w:r>
      <w:r w:rsidRPr="00C23FDF">
        <w:rPr>
          <w:rFonts w:ascii="Tw Cen MT" w:eastAsia="Twentieth Century" w:hAnsi="Tw Cen MT" w:cs="Twentieth Century"/>
          <w:sz w:val="20"/>
          <w:szCs w:val="20"/>
        </w:rPr>
        <w:t>, vol. 2, no. 4, pp. 288–305, 2019, doi: 10.26599/BDMA.2019.9020007.</w:t>
      </w:r>
    </w:p>
    <w:p w14:paraId="0A910D8A"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[20]</w:t>
      </w:r>
      <w:r w:rsidRPr="00C23FDF">
        <w:rPr>
          <w:rFonts w:ascii="Tw Cen MT" w:eastAsia="Twentieth Century" w:hAnsi="Tw Cen MT" w:cs="Twentieth Century"/>
          <w:sz w:val="20"/>
          <w:szCs w:val="20"/>
        </w:rPr>
        <w:tab/>
        <w:t xml:space="preserve">M. Huang, W. Liu, T. Wang, H. Song, X. Li, and A. Liu, “A queuing delay utilization scheme for on-path service aggregation in services-oriented computing networks,” </w:t>
      </w:r>
      <w:r w:rsidRPr="00C23FDF">
        <w:rPr>
          <w:rFonts w:ascii="Tw Cen MT" w:eastAsia="Twentieth Century" w:hAnsi="Tw Cen MT" w:cs="Twentieth Century"/>
          <w:i/>
          <w:iCs/>
          <w:sz w:val="20"/>
          <w:szCs w:val="20"/>
        </w:rPr>
        <w:t>IEEE Access</w:t>
      </w:r>
      <w:r w:rsidRPr="00C23FDF">
        <w:rPr>
          <w:rFonts w:ascii="Tw Cen MT" w:eastAsia="Twentieth Century" w:hAnsi="Tw Cen MT" w:cs="Twentieth Century"/>
          <w:sz w:val="20"/>
          <w:szCs w:val="20"/>
        </w:rPr>
        <w:t>, vol. 7, pp. 23816–23833, 2019, doi: 10.1109/ACCESS.2019.2899402.</w:t>
      </w:r>
    </w:p>
    <w:p w14:paraId="79C12F36"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[21]</w:t>
      </w:r>
      <w:r w:rsidRPr="00C23FDF">
        <w:rPr>
          <w:rFonts w:ascii="Tw Cen MT" w:eastAsia="Twentieth Century" w:hAnsi="Tw Cen MT" w:cs="Twentieth Century"/>
          <w:sz w:val="20"/>
          <w:szCs w:val="20"/>
        </w:rPr>
        <w:tab/>
        <w:t xml:space="preserve">G. Xu, Y. Shi, X. Sun, and W. Shen, “Internet of things in marine environment monitoring: A review,” </w:t>
      </w:r>
      <w:r w:rsidRPr="00C23FDF">
        <w:rPr>
          <w:rFonts w:ascii="Tw Cen MT" w:eastAsia="Twentieth Century" w:hAnsi="Tw Cen MT" w:cs="Twentieth Century"/>
          <w:i/>
          <w:iCs/>
          <w:sz w:val="20"/>
          <w:szCs w:val="20"/>
        </w:rPr>
        <w:t>Sensors (Switzerland)</w:t>
      </w:r>
      <w:r w:rsidRPr="00C23FDF">
        <w:rPr>
          <w:rFonts w:ascii="Tw Cen MT" w:eastAsia="Twentieth Century" w:hAnsi="Tw Cen MT" w:cs="Twentieth Century"/>
          <w:sz w:val="20"/>
          <w:szCs w:val="20"/>
        </w:rPr>
        <w:t>, vol. 19, no. 7, pp. 1–21, 2019, doi: 10.3390/s19071711.</w:t>
      </w:r>
    </w:p>
    <w:p w14:paraId="033D20C8"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[22]</w:t>
      </w:r>
      <w:r w:rsidRPr="00C23FDF">
        <w:rPr>
          <w:rFonts w:ascii="Tw Cen MT" w:eastAsia="Twentieth Century" w:hAnsi="Tw Cen MT" w:cs="Twentieth Century"/>
          <w:sz w:val="20"/>
          <w:szCs w:val="20"/>
        </w:rPr>
        <w:tab/>
        <w:t xml:space="preserve">M. Aqib, R. Mehmood, A. Alzahrani, I. Katib, A. Albeshri, and S. M. Altowaijri, </w:t>
      </w:r>
      <w:r w:rsidRPr="00C23FDF">
        <w:rPr>
          <w:rFonts w:ascii="Tw Cen MT" w:eastAsia="Twentieth Century" w:hAnsi="Tw Cen MT" w:cs="Twentieth Century"/>
          <w:i/>
          <w:iCs/>
          <w:sz w:val="20"/>
          <w:szCs w:val="20"/>
        </w:rPr>
        <w:t>Smarter traffic prediction using big data, in-memory computing, deep learning and gpus</w:t>
      </w:r>
      <w:r w:rsidRPr="00C23FDF">
        <w:rPr>
          <w:rFonts w:ascii="Tw Cen MT" w:eastAsia="Twentieth Century" w:hAnsi="Tw Cen MT" w:cs="Twentieth Century"/>
          <w:sz w:val="20"/>
          <w:szCs w:val="20"/>
        </w:rPr>
        <w:t>, vol. 19, no. 9. 2019.</w:t>
      </w:r>
    </w:p>
    <w:p w14:paraId="5B1F5D5D"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[23]</w:t>
      </w:r>
      <w:r w:rsidRPr="00C23FDF">
        <w:rPr>
          <w:rFonts w:ascii="Tw Cen MT" w:eastAsia="Twentieth Century" w:hAnsi="Tw Cen MT" w:cs="Twentieth Century"/>
          <w:sz w:val="20"/>
          <w:szCs w:val="20"/>
        </w:rPr>
        <w:tab/>
        <w:t xml:space="preserve">S. Leonelli and N. Tempini, </w:t>
      </w:r>
      <w:r w:rsidRPr="00C23FDF">
        <w:rPr>
          <w:rFonts w:ascii="Tw Cen MT" w:eastAsia="Twentieth Century" w:hAnsi="Tw Cen MT" w:cs="Twentieth Century"/>
          <w:i/>
          <w:iCs/>
          <w:sz w:val="20"/>
          <w:szCs w:val="20"/>
        </w:rPr>
        <w:t>Data Journeys in the Sciences</w:t>
      </w:r>
      <w:r w:rsidRPr="00C23FDF">
        <w:rPr>
          <w:rFonts w:ascii="Tw Cen MT" w:eastAsia="Twentieth Century" w:hAnsi="Tw Cen MT" w:cs="Twentieth Century"/>
          <w:sz w:val="20"/>
          <w:szCs w:val="20"/>
        </w:rPr>
        <w:t>. 2020.</w:t>
      </w:r>
    </w:p>
    <w:p w14:paraId="5D4DA848" w14:textId="77777777" w:rsidR="00D23CC1" w:rsidRPr="00C23FDF" w:rsidRDefault="00000000">
      <w:pPr>
        <w:ind w:left="426" w:hanging="426"/>
        <w:jc w:val="both"/>
        <w:rPr>
          <w:rFonts w:ascii="Tw Cen MT" w:eastAsia="Twentieth Century" w:hAnsi="Tw Cen MT" w:cs="Twentieth Century"/>
          <w:sz w:val="20"/>
          <w:szCs w:val="20"/>
        </w:rPr>
      </w:pPr>
      <w:r w:rsidRPr="00C23FDF">
        <w:rPr>
          <w:rFonts w:ascii="Tw Cen MT" w:eastAsia="Twentieth Century" w:hAnsi="Tw Cen MT" w:cs="Twentieth Century"/>
          <w:sz w:val="20"/>
          <w:szCs w:val="20"/>
        </w:rPr>
        <w:t>[24]</w:t>
      </w:r>
      <w:r w:rsidRPr="00C23FDF">
        <w:rPr>
          <w:rFonts w:ascii="Tw Cen MT" w:eastAsia="Twentieth Century" w:hAnsi="Tw Cen MT" w:cs="Twentieth Century"/>
          <w:sz w:val="20"/>
          <w:szCs w:val="20"/>
        </w:rPr>
        <w:tab/>
        <w:t xml:space="preserve">N. Stylos and J. Zwiegelaar, </w:t>
      </w:r>
      <w:r w:rsidRPr="00C23FDF">
        <w:rPr>
          <w:rFonts w:ascii="Tw Cen MT" w:eastAsia="Twentieth Century" w:hAnsi="Tw Cen MT" w:cs="Twentieth Century"/>
          <w:i/>
          <w:iCs/>
          <w:sz w:val="20"/>
          <w:szCs w:val="20"/>
        </w:rPr>
        <w:t>Big Data as a Game Changer: How Does It Shape Business Intelligence Within a Tourism and Hospitality Industry Context?</w:t>
      </w:r>
      <w:r w:rsidRPr="00C23FDF">
        <w:rPr>
          <w:rFonts w:ascii="Tw Cen MT" w:eastAsia="Twentieth Century" w:hAnsi="Tw Cen MT" w:cs="Twentieth Century"/>
          <w:sz w:val="20"/>
          <w:szCs w:val="20"/>
        </w:rPr>
        <w:t xml:space="preserve"> 2019.</w:t>
      </w:r>
    </w:p>
    <w:p w14:paraId="073DA76E" w14:textId="77777777" w:rsidR="00D23CC1" w:rsidRPr="00C23FDF" w:rsidRDefault="00000000">
      <w:pPr>
        <w:ind w:left="426" w:hanging="426"/>
        <w:jc w:val="both"/>
        <w:rPr>
          <w:rFonts w:ascii="Tw Cen MT" w:eastAsia="Twentieth Century" w:hAnsi="Tw Cen MT" w:cs="Twentieth Century"/>
          <w:color w:val="000000"/>
          <w:sz w:val="20"/>
          <w:szCs w:val="20"/>
        </w:rPr>
      </w:pPr>
      <w:r w:rsidRPr="00C23FDF">
        <w:rPr>
          <w:rFonts w:ascii="Tw Cen MT" w:eastAsia="Twentieth Century" w:hAnsi="Tw Cen MT" w:cs="Twentieth Century"/>
          <w:sz w:val="20"/>
          <w:szCs w:val="20"/>
        </w:rPr>
        <w:t>[25]</w:t>
      </w:r>
      <w:r w:rsidRPr="00C23FDF">
        <w:rPr>
          <w:rFonts w:ascii="Tw Cen MT" w:eastAsia="Twentieth Century" w:hAnsi="Tw Cen MT" w:cs="Twentieth Century"/>
          <w:sz w:val="20"/>
          <w:szCs w:val="20"/>
        </w:rPr>
        <w:tab/>
        <w:t xml:space="preserve">Q. Song, H. Ge, J. Caverlee, and X. Hu, “Tensor completion algorithms in big data analytics,” </w:t>
      </w:r>
      <w:r w:rsidRPr="00C23FDF">
        <w:rPr>
          <w:rFonts w:ascii="Tw Cen MT" w:eastAsia="Twentieth Century" w:hAnsi="Tw Cen MT" w:cs="Twentieth Century"/>
          <w:i/>
          <w:iCs/>
          <w:sz w:val="20"/>
          <w:szCs w:val="20"/>
        </w:rPr>
        <w:t>arXiv</w:t>
      </w:r>
      <w:r w:rsidRPr="00C23FDF">
        <w:rPr>
          <w:rFonts w:ascii="Tw Cen MT" w:eastAsia="Twentieth Century" w:hAnsi="Tw Cen MT" w:cs="Twentieth Century"/>
          <w:sz w:val="20"/>
          <w:szCs w:val="20"/>
        </w:rPr>
        <w:t>, vol. 13, no. 1, 2017.</w:t>
      </w:r>
    </w:p>
    <w:sectPr w:rsidR="00D23CC1" w:rsidRPr="00C23FDF">
      <w:headerReference w:type="default" r:id="rId14"/>
      <w:footerReference w:type="default" r:id="rId15"/>
      <w:headerReference w:type="first" r:id="rId16"/>
      <w:footerReference w:type="first" r:id="rId17"/>
      <w:pgSz w:w="11907" w:h="16840"/>
      <w:pgMar w:top="1418" w:right="1418" w:bottom="1418"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B1A0" w14:textId="77777777" w:rsidR="000A52FA" w:rsidRDefault="000A52FA">
      <w:r>
        <w:separator/>
      </w:r>
    </w:p>
  </w:endnote>
  <w:endnote w:type="continuationSeparator" w:id="0">
    <w:p w14:paraId="42B96BEC" w14:textId="77777777" w:rsidR="000A52FA" w:rsidRDefault="000A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wentieth Century">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6DB5756-CFCF-4261-8991-2C3A42F2A866}"/>
  </w:font>
  <w:font w:name="Cambria">
    <w:panose1 w:val="02040503050406030204"/>
    <w:charset w:val="00"/>
    <w:family w:val="roman"/>
    <w:pitch w:val="variable"/>
    <w:sig w:usb0="E00006FF" w:usb1="420024FF" w:usb2="02000000" w:usb3="00000000" w:csb0="0000019F" w:csb1="00000000"/>
    <w:embedRegular r:id="rId2" w:fontKey="{AC55F173-BCEA-4656-9FD3-D91A54E3320C}"/>
    <w:embedBold r:id="rId3" w:fontKey="{706881E2-F253-4F7E-B084-60A50D6C6C15}"/>
    <w:embedItalic r:id="rId4" w:fontKey="{FB3F2C38-8E01-4F2A-A4C9-54DC2C1BC9CF}"/>
  </w:font>
  <w:font w:name="Calibri">
    <w:panose1 w:val="020F0502020204030204"/>
    <w:charset w:val="00"/>
    <w:family w:val="swiss"/>
    <w:pitch w:val="variable"/>
    <w:sig w:usb0="E4002EFF" w:usb1="C200247B" w:usb2="00000009" w:usb3="00000000" w:csb0="000001FF" w:csb1="00000000"/>
    <w:embedRegular r:id="rId5" w:fontKey="{07FE1D08-1155-4435-BFB5-2FC4115B7BE0}"/>
  </w:font>
  <w:font w:name="Tw Cen MT">
    <w:panose1 w:val="020B0602020104020603"/>
    <w:charset w:val="00"/>
    <w:family w:val="swiss"/>
    <w:pitch w:val="variable"/>
    <w:sig w:usb0="00000007" w:usb1="00000000" w:usb2="00000000" w:usb3="00000000" w:csb0="00000003" w:csb1="00000000"/>
    <w:embedRegular r:id="rId6" w:fontKey="{87391D22-2C9E-4AA3-BD79-5A5CF391684D}"/>
    <w:embedBold r:id="rId7" w:fontKey="{5AE4F356-2D20-4371-A194-D12CD6FA0F9F}"/>
    <w:embedItalic r:id="rId8" w:fontKey="{7373F388-B99F-4AAC-A7F9-00CA9E4DCE79}"/>
  </w:font>
  <w:font w:name="Tw Cent M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embedBold r:id="rId9" w:fontKey="{433FEFB4-B9BA-46D0-8BD2-410A628ADD73}"/>
  </w:font>
  <w:font w:name="Cambria Math">
    <w:panose1 w:val="02040503050406030204"/>
    <w:charset w:val="00"/>
    <w:family w:val="roman"/>
    <w:pitch w:val="variable"/>
    <w:sig w:usb0="E00006FF" w:usb1="420024FF" w:usb2="02000000" w:usb3="00000000" w:csb0="0000019F" w:csb1="00000000"/>
    <w:embedRegular r:id="rId10" w:fontKey="{248E3557-99D6-4583-BDB7-17E8A3CF9EA0}"/>
    <w:embedItalic r:id="rId11" w:fontKey="{AB598DE5-7882-4E29-AB87-1A2BC6CF4662}"/>
  </w:font>
  <w:font w:name="Consolas">
    <w:panose1 w:val="020B0609020204030204"/>
    <w:charset w:val="00"/>
    <w:family w:val="modern"/>
    <w:pitch w:val="fixed"/>
    <w:sig w:usb0="E00006FF" w:usb1="0000FCFF" w:usb2="00000001" w:usb3="00000000" w:csb0="0000019F" w:csb1="00000000"/>
    <w:embedRegular r:id="rId12" w:fontKey="{73A85EAD-0D72-40F2-93FC-1E40F18F37A1}"/>
    <w:embedBold r:id="rId13" w:fontKey="{DED8A36E-C54E-4A14-BDED-A872B1F678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D9B3" w14:textId="77777777" w:rsidR="00D23CC1" w:rsidRDefault="00000000">
    <w:pPr>
      <w:pBdr>
        <w:top w:val="nil"/>
        <w:left w:val="nil"/>
        <w:bottom w:val="nil"/>
        <w:right w:val="nil"/>
        <w:between w:val="nil"/>
      </w:pBdr>
      <w:tabs>
        <w:tab w:val="center" w:pos="4680"/>
        <w:tab w:val="right" w:pos="9360"/>
      </w:tabs>
      <w:jc w:val="right"/>
      <w:rPr>
        <w:rFonts w:ascii="Twentieth Century" w:eastAsia="Twentieth Century" w:hAnsi="Twentieth Century" w:cs="Twentieth Century"/>
        <w:color w:val="000000"/>
        <w:sz w:val="16"/>
        <w:szCs w:val="16"/>
      </w:rPr>
    </w:pPr>
    <w:r>
      <w:rPr>
        <w:rFonts w:ascii="Twentieth Century" w:eastAsia="Twentieth Century" w:hAnsi="Twentieth Century" w:cs="Twentieth Century"/>
        <w:color w:val="000000"/>
        <w:sz w:val="16"/>
        <w:szCs w:val="16"/>
      </w:rPr>
      <w:fldChar w:fldCharType="begin"/>
    </w:r>
    <w:r>
      <w:rPr>
        <w:rFonts w:ascii="Twentieth Century" w:eastAsia="Twentieth Century" w:hAnsi="Twentieth Century" w:cs="Twentieth Century"/>
        <w:color w:val="000000"/>
        <w:sz w:val="16"/>
        <w:szCs w:val="16"/>
      </w:rPr>
      <w:instrText>PAGE</w:instrText>
    </w:r>
    <w:r>
      <w:rPr>
        <w:rFonts w:ascii="Twentieth Century" w:eastAsia="Twentieth Century" w:hAnsi="Twentieth Century" w:cs="Twentieth Century"/>
        <w:color w:val="000000"/>
        <w:sz w:val="16"/>
        <w:szCs w:val="16"/>
      </w:rPr>
      <w:fldChar w:fldCharType="separate"/>
    </w:r>
    <w:r w:rsidR="0074428B">
      <w:rPr>
        <w:rFonts w:ascii="Twentieth Century" w:eastAsia="Twentieth Century" w:hAnsi="Twentieth Century" w:cs="Twentieth Century"/>
        <w:noProof/>
        <w:color w:val="000000"/>
        <w:sz w:val="16"/>
        <w:szCs w:val="16"/>
      </w:rPr>
      <w:t>2</w:t>
    </w:r>
    <w:r>
      <w:rPr>
        <w:rFonts w:ascii="Twentieth Century" w:eastAsia="Twentieth Century" w:hAnsi="Twentieth Century" w:cs="Twentieth Century"/>
        <w:color w:val="000000"/>
        <w:sz w:val="16"/>
        <w:szCs w:val="16"/>
      </w:rPr>
      <w:fldChar w:fldCharType="end"/>
    </w:r>
  </w:p>
  <w:p w14:paraId="015791D5" w14:textId="77777777" w:rsidR="00D23CC1" w:rsidRDefault="00D23CC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6F59" w14:textId="77777777" w:rsidR="00D23CC1" w:rsidRDefault="00000000">
    <w:pPr>
      <w:pBdr>
        <w:top w:val="nil"/>
        <w:left w:val="nil"/>
        <w:bottom w:val="nil"/>
        <w:right w:val="nil"/>
        <w:between w:val="nil"/>
      </w:pBdr>
      <w:tabs>
        <w:tab w:val="center" w:pos="4680"/>
        <w:tab w:val="right" w:pos="9360"/>
      </w:tabs>
      <w:jc w:val="right"/>
      <w:rPr>
        <w:rFonts w:ascii="Twentieth Century" w:eastAsia="Twentieth Century" w:hAnsi="Twentieth Century" w:cs="Twentieth Century"/>
        <w:color w:val="000000"/>
        <w:sz w:val="16"/>
        <w:szCs w:val="16"/>
      </w:rPr>
    </w:pPr>
    <w:r>
      <w:rPr>
        <w:rFonts w:ascii="Twentieth Century" w:eastAsia="Twentieth Century" w:hAnsi="Twentieth Century" w:cs="Twentieth Century"/>
        <w:color w:val="000000"/>
        <w:sz w:val="16"/>
        <w:szCs w:val="16"/>
      </w:rPr>
      <w:fldChar w:fldCharType="begin"/>
    </w:r>
    <w:r>
      <w:rPr>
        <w:rFonts w:ascii="Twentieth Century" w:eastAsia="Twentieth Century" w:hAnsi="Twentieth Century" w:cs="Twentieth Century"/>
        <w:color w:val="000000"/>
        <w:sz w:val="16"/>
        <w:szCs w:val="16"/>
      </w:rPr>
      <w:instrText>PAGE</w:instrText>
    </w:r>
    <w:r>
      <w:rPr>
        <w:rFonts w:ascii="Twentieth Century" w:eastAsia="Twentieth Century" w:hAnsi="Twentieth Century" w:cs="Twentieth Century"/>
        <w:color w:val="000000"/>
        <w:sz w:val="16"/>
        <w:szCs w:val="16"/>
      </w:rPr>
      <w:fldChar w:fldCharType="separate"/>
    </w:r>
    <w:r w:rsidR="0074428B">
      <w:rPr>
        <w:rFonts w:ascii="Twentieth Century" w:eastAsia="Twentieth Century" w:hAnsi="Twentieth Century" w:cs="Twentieth Century"/>
        <w:noProof/>
        <w:color w:val="000000"/>
        <w:sz w:val="16"/>
        <w:szCs w:val="16"/>
      </w:rPr>
      <w:t>1</w:t>
    </w:r>
    <w:r>
      <w:rPr>
        <w:rFonts w:ascii="Twentieth Century" w:eastAsia="Twentieth Century" w:hAnsi="Twentieth Century" w:cs="Twentieth Century"/>
        <w:color w:val="000000"/>
        <w:sz w:val="16"/>
        <w:szCs w:val="16"/>
      </w:rPr>
      <w:fldChar w:fldCharType="end"/>
    </w:r>
  </w:p>
  <w:p w14:paraId="248AA185" w14:textId="77777777" w:rsidR="00D23CC1" w:rsidRDefault="00D23CC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C99D" w14:textId="77777777" w:rsidR="000A52FA" w:rsidRDefault="000A52FA">
      <w:r>
        <w:separator/>
      </w:r>
    </w:p>
  </w:footnote>
  <w:footnote w:type="continuationSeparator" w:id="0">
    <w:p w14:paraId="437C575A" w14:textId="77777777" w:rsidR="000A52FA" w:rsidRDefault="000A5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2F1E" w14:textId="77777777" w:rsidR="00D23CC1" w:rsidRDefault="00D23CC1">
    <w:pPr>
      <w:pBdr>
        <w:top w:val="nil"/>
        <w:left w:val="nil"/>
        <w:bottom w:val="nil"/>
        <w:right w:val="nil"/>
        <w:between w:val="nil"/>
      </w:pBdr>
      <w:tabs>
        <w:tab w:val="center" w:pos="4680"/>
        <w:tab w:val="right" w:pos="9360"/>
      </w:tabs>
      <w:jc w:val="right"/>
      <w:rPr>
        <w:rFonts w:ascii="Twentieth Century" w:eastAsia="Twentieth Century" w:hAnsi="Twentieth Century" w:cs="Twentieth Century"/>
        <w:color w:val="000000"/>
        <w:sz w:val="16"/>
        <w:szCs w:val="16"/>
      </w:rPr>
    </w:pPr>
  </w:p>
  <w:p w14:paraId="569640A7" w14:textId="77777777" w:rsidR="00D23CC1" w:rsidRDefault="00000000">
    <w:pPr>
      <w:pBdr>
        <w:top w:val="nil"/>
        <w:left w:val="nil"/>
        <w:bottom w:val="nil"/>
        <w:right w:val="nil"/>
        <w:between w:val="nil"/>
      </w:pBdr>
      <w:tabs>
        <w:tab w:val="center" w:pos="4680"/>
        <w:tab w:val="right" w:pos="9360"/>
      </w:tabs>
      <w:rPr>
        <w:rFonts w:ascii="Twentieth Century" w:eastAsia="Twentieth Century" w:hAnsi="Twentieth Century" w:cs="Twentieth Century"/>
        <w:color w:val="000000"/>
        <w:sz w:val="16"/>
        <w:szCs w:val="16"/>
      </w:rPr>
    </w:pPr>
    <w:r>
      <w:rPr>
        <w:rFonts w:ascii="Twentieth Century" w:eastAsia="Twentieth Century" w:hAnsi="Twentieth Century" w:cs="Twentieth Century"/>
        <w:sz w:val="16"/>
        <w:szCs w:val="16"/>
      </w:rPr>
      <w:t>eProceeding of TIK</w:t>
    </w:r>
  </w:p>
  <w:p w14:paraId="5D3B2DB1" w14:textId="77777777" w:rsidR="00D23CC1" w:rsidRDefault="00D23C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84E3" w14:textId="77777777" w:rsidR="00D23CC1" w:rsidRDefault="00D23CC1">
    <w:pPr>
      <w:pBdr>
        <w:top w:val="nil"/>
        <w:left w:val="nil"/>
        <w:bottom w:val="nil"/>
        <w:right w:val="nil"/>
        <w:between w:val="nil"/>
      </w:pBdr>
      <w:spacing w:line="276" w:lineRule="auto"/>
    </w:pPr>
  </w:p>
  <w:tbl>
    <w:tblPr>
      <w:tblStyle w:val="a2"/>
      <w:tblW w:w="9041" w:type="dxa"/>
      <w:tblInd w:w="0" w:type="dxa"/>
      <w:tblBorders>
        <w:top w:val="nil"/>
        <w:left w:val="nil"/>
        <w:bottom w:val="single" w:sz="4" w:space="0" w:color="4472C4"/>
        <w:right w:val="nil"/>
        <w:insideH w:val="nil"/>
        <w:insideV w:val="nil"/>
      </w:tblBorders>
      <w:tblLayout w:type="fixed"/>
      <w:tblLook w:val="0400" w:firstRow="0" w:lastRow="0" w:firstColumn="0" w:lastColumn="0" w:noHBand="0" w:noVBand="1"/>
    </w:tblPr>
    <w:tblGrid>
      <w:gridCol w:w="6084"/>
      <w:gridCol w:w="2957"/>
    </w:tblGrid>
    <w:tr w:rsidR="00D23CC1" w14:paraId="5DF4B0B2" w14:textId="77777777">
      <w:tc>
        <w:tcPr>
          <w:tcW w:w="6084" w:type="dxa"/>
          <w:vAlign w:val="center"/>
        </w:tcPr>
        <w:p w14:paraId="6AD0FBA0" w14:textId="77777777" w:rsidR="00D23CC1" w:rsidRDefault="00000000">
          <w:pPr>
            <w:pBdr>
              <w:top w:val="nil"/>
              <w:left w:val="nil"/>
              <w:bottom w:val="nil"/>
              <w:right w:val="nil"/>
              <w:between w:val="nil"/>
            </w:pBdr>
            <w:tabs>
              <w:tab w:val="center" w:pos="4680"/>
              <w:tab w:val="right" w:pos="9360"/>
            </w:tabs>
            <w:ind w:left="-110"/>
            <w:rPr>
              <w:rFonts w:ascii="Twentieth Century" w:eastAsia="Twentieth Century" w:hAnsi="Twentieth Century" w:cs="Twentieth Century"/>
              <w:color w:val="000000"/>
              <w:sz w:val="16"/>
              <w:szCs w:val="16"/>
            </w:rPr>
          </w:pPr>
          <w:r>
            <w:rPr>
              <w:rFonts w:ascii="Twentieth Century" w:eastAsia="Twentieth Century" w:hAnsi="Twentieth Century" w:cs="Twentieth Century"/>
              <w:color w:val="000000"/>
              <w:sz w:val="16"/>
              <w:szCs w:val="16"/>
            </w:rPr>
            <w:t xml:space="preserve">eProceeding </w:t>
          </w:r>
          <w:r>
            <w:rPr>
              <w:rFonts w:ascii="Twentieth Century" w:eastAsia="Twentieth Century" w:hAnsi="Twentieth Century" w:cs="Twentieth Century"/>
              <w:sz w:val="16"/>
              <w:szCs w:val="16"/>
            </w:rPr>
            <w:t>of TIK</w:t>
          </w:r>
        </w:p>
      </w:tc>
      <w:tc>
        <w:tcPr>
          <w:tcW w:w="2957" w:type="dxa"/>
          <w:vMerge w:val="restart"/>
          <w:vAlign w:val="center"/>
        </w:tcPr>
        <w:p w14:paraId="6E5214CB" w14:textId="77777777" w:rsidR="00D23CC1" w:rsidRDefault="00000000">
          <w:pPr>
            <w:ind w:left="169"/>
            <w:jc w:val="right"/>
            <w:rPr>
              <w:rFonts w:ascii="Twentieth Century" w:eastAsia="Twentieth Century" w:hAnsi="Twentieth Century" w:cs="Twentieth Century"/>
              <w:sz w:val="16"/>
              <w:szCs w:val="16"/>
            </w:rPr>
          </w:pPr>
          <w:r>
            <w:rPr>
              <w:rFonts w:ascii="Twentieth Century" w:eastAsia="Twentieth Century" w:hAnsi="Twentieth Century" w:cs="Twentieth Century"/>
              <w:noProof/>
              <w:sz w:val="16"/>
              <w:szCs w:val="16"/>
            </w:rPr>
            <w:drawing>
              <wp:inline distT="114300" distB="114300" distL="114300" distR="114300" wp14:anchorId="285B0DBB" wp14:editId="482A91E1">
                <wp:extent cx="1290828" cy="32004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290828" cy="320040"/>
                        </a:xfrm>
                        <a:prstGeom prst="rect">
                          <a:avLst/>
                        </a:prstGeom>
                        <a:ln/>
                      </pic:spPr>
                    </pic:pic>
                  </a:graphicData>
                </a:graphic>
              </wp:inline>
            </w:drawing>
          </w:r>
        </w:p>
      </w:tc>
    </w:tr>
    <w:tr w:rsidR="00D23CC1" w14:paraId="4DF50F44" w14:textId="77777777">
      <w:tc>
        <w:tcPr>
          <w:tcW w:w="6084" w:type="dxa"/>
          <w:vAlign w:val="center"/>
        </w:tcPr>
        <w:p w14:paraId="0F2B8DBC" w14:textId="77777777" w:rsidR="00D23CC1" w:rsidRDefault="00000000">
          <w:pPr>
            <w:pBdr>
              <w:top w:val="nil"/>
              <w:left w:val="nil"/>
              <w:bottom w:val="nil"/>
              <w:right w:val="nil"/>
              <w:between w:val="nil"/>
            </w:pBdr>
            <w:tabs>
              <w:tab w:val="center" w:pos="4680"/>
              <w:tab w:val="right" w:pos="9360"/>
            </w:tabs>
            <w:ind w:left="-110"/>
            <w:rPr>
              <w:rFonts w:ascii="Twentieth Century" w:eastAsia="Twentieth Century" w:hAnsi="Twentieth Century" w:cs="Twentieth Century"/>
              <w:color w:val="000000"/>
              <w:sz w:val="16"/>
              <w:szCs w:val="16"/>
            </w:rPr>
          </w:pPr>
          <w:r>
            <w:rPr>
              <w:rFonts w:ascii="Twentieth Century" w:eastAsia="Twentieth Century" w:hAnsi="Twentieth Century" w:cs="Twentieth Century"/>
              <w:color w:val="000000"/>
              <w:sz w:val="16"/>
              <w:szCs w:val="16"/>
            </w:rPr>
            <w:t xml:space="preserve">E-ISSN: 2797-1724, </w:t>
          </w:r>
          <w:r>
            <w:rPr>
              <w:rFonts w:ascii="Twentieth Century" w:eastAsia="Twentieth Century" w:hAnsi="Twentieth Century" w:cs="Twentieth Century"/>
              <w:sz w:val="16"/>
              <w:szCs w:val="16"/>
            </w:rPr>
            <w:t>P-ISSN: 3031-1454</w:t>
          </w:r>
        </w:p>
      </w:tc>
      <w:tc>
        <w:tcPr>
          <w:tcW w:w="2957" w:type="dxa"/>
          <w:vMerge/>
          <w:vAlign w:val="center"/>
        </w:tcPr>
        <w:p w14:paraId="14E91C72" w14:textId="77777777" w:rsidR="00D23CC1" w:rsidRDefault="00D23CC1">
          <w:pPr>
            <w:pBdr>
              <w:top w:val="nil"/>
              <w:left w:val="nil"/>
              <w:bottom w:val="nil"/>
              <w:right w:val="nil"/>
              <w:between w:val="nil"/>
            </w:pBdr>
            <w:spacing w:line="276" w:lineRule="auto"/>
            <w:rPr>
              <w:rFonts w:ascii="Twentieth Century" w:eastAsia="Twentieth Century" w:hAnsi="Twentieth Century" w:cs="Twentieth Century"/>
              <w:color w:val="000000"/>
              <w:sz w:val="16"/>
              <w:szCs w:val="16"/>
            </w:rPr>
          </w:pPr>
        </w:p>
      </w:tc>
    </w:tr>
    <w:tr w:rsidR="00D23CC1" w14:paraId="4C226B6D" w14:textId="77777777">
      <w:tc>
        <w:tcPr>
          <w:tcW w:w="6084" w:type="dxa"/>
        </w:tcPr>
        <w:p w14:paraId="4D5772FA" w14:textId="0CD296AB" w:rsidR="00D23CC1" w:rsidRDefault="00000000">
          <w:pPr>
            <w:pBdr>
              <w:top w:val="nil"/>
              <w:left w:val="nil"/>
              <w:bottom w:val="nil"/>
              <w:right w:val="nil"/>
              <w:between w:val="nil"/>
            </w:pBdr>
            <w:tabs>
              <w:tab w:val="center" w:pos="4680"/>
              <w:tab w:val="right" w:pos="9360"/>
            </w:tabs>
            <w:ind w:left="-110"/>
            <w:rPr>
              <w:rFonts w:ascii="Twentieth Century" w:eastAsia="Twentieth Century" w:hAnsi="Twentieth Century" w:cs="Twentieth Century"/>
              <w:color w:val="000000"/>
              <w:sz w:val="16"/>
              <w:szCs w:val="16"/>
            </w:rPr>
          </w:pPr>
          <w:r>
            <w:rPr>
              <w:rFonts w:ascii="Twentieth Century" w:eastAsia="Twentieth Century" w:hAnsi="Twentieth Century" w:cs="Twentieth Century"/>
              <w:color w:val="000000"/>
              <w:sz w:val="16"/>
              <w:szCs w:val="16"/>
            </w:rPr>
            <w:t xml:space="preserve">Vol. </w:t>
          </w:r>
          <w:r>
            <w:rPr>
              <w:rFonts w:ascii="Twentieth Century" w:eastAsia="Twentieth Century" w:hAnsi="Twentieth Century" w:cs="Twentieth Century"/>
              <w:sz w:val="16"/>
              <w:szCs w:val="16"/>
            </w:rPr>
            <w:t>7</w:t>
          </w:r>
          <w:r>
            <w:rPr>
              <w:rFonts w:ascii="Twentieth Century" w:eastAsia="Twentieth Century" w:hAnsi="Twentieth Century" w:cs="Twentieth Century"/>
              <w:color w:val="000000"/>
              <w:sz w:val="16"/>
              <w:szCs w:val="16"/>
            </w:rPr>
            <w:t xml:space="preserve"> No. 1 202</w:t>
          </w:r>
          <w:r>
            <w:rPr>
              <w:rFonts w:ascii="Twentieth Century" w:eastAsia="Twentieth Century" w:hAnsi="Twentieth Century" w:cs="Twentieth Century"/>
              <w:sz w:val="16"/>
              <w:szCs w:val="16"/>
            </w:rPr>
            <w:t>7</w:t>
          </w:r>
          <w:r>
            <w:rPr>
              <w:rFonts w:ascii="Twentieth Century" w:eastAsia="Twentieth Century" w:hAnsi="Twentieth Century" w:cs="Twentieth Century"/>
              <w:color w:val="000000"/>
              <w:sz w:val="16"/>
              <w:szCs w:val="16"/>
            </w:rPr>
            <w:t xml:space="preserve"> pp. </w:t>
          </w:r>
          <w:r w:rsidR="0074428B">
            <w:rPr>
              <w:rFonts w:ascii="Twentieth Century" w:eastAsia="Twentieth Century" w:hAnsi="Twentieth Century" w:cs="Twentieth Century"/>
              <w:sz w:val="16"/>
              <w:szCs w:val="16"/>
            </w:rPr>
            <w:t>1</w:t>
          </w:r>
          <w:r>
            <w:rPr>
              <w:rFonts w:ascii="Twentieth Century" w:eastAsia="Twentieth Century" w:hAnsi="Twentieth Century" w:cs="Twentieth Century"/>
              <w:color w:val="000000"/>
              <w:sz w:val="16"/>
              <w:szCs w:val="16"/>
            </w:rPr>
            <w:t>-</w:t>
          </w:r>
          <w:r w:rsidR="0074428B">
            <w:rPr>
              <w:rFonts w:ascii="Twentieth Century" w:eastAsia="Twentieth Century" w:hAnsi="Twentieth Century" w:cs="Twentieth Century"/>
              <w:color w:val="000000"/>
              <w:sz w:val="16"/>
              <w:szCs w:val="16"/>
            </w:rPr>
            <w:t>10</w:t>
          </w:r>
        </w:p>
      </w:tc>
      <w:tc>
        <w:tcPr>
          <w:tcW w:w="2957" w:type="dxa"/>
          <w:vMerge/>
          <w:vAlign w:val="center"/>
        </w:tcPr>
        <w:p w14:paraId="2EE2C167" w14:textId="77777777" w:rsidR="00D23CC1" w:rsidRDefault="00D23CC1">
          <w:pPr>
            <w:pBdr>
              <w:top w:val="nil"/>
              <w:left w:val="nil"/>
              <w:bottom w:val="nil"/>
              <w:right w:val="nil"/>
              <w:between w:val="nil"/>
            </w:pBdr>
            <w:spacing w:line="276" w:lineRule="auto"/>
            <w:rPr>
              <w:rFonts w:ascii="Twentieth Century" w:eastAsia="Twentieth Century" w:hAnsi="Twentieth Century" w:cs="Twentieth Century"/>
              <w:color w:val="000000"/>
              <w:sz w:val="16"/>
              <w:szCs w:val="16"/>
            </w:rPr>
          </w:pPr>
        </w:p>
      </w:tc>
    </w:tr>
    <w:tr w:rsidR="00D23CC1" w14:paraId="76B468E1" w14:textId="77777777">
      <w:tc>
        <w:tcPr>
          <w:tcW w:w="6084" w:type="dxa"/>
          <w:vAlign w:val="center"/>
        </w:tcPr>
        <w:p w14:paraId="5F801AB9" w14:textId="77777777" w:rsidR="00D23CC1" w:rsidRDefault="00D23CC1">
          <w:pPr>
            <w:pBdr>
              <w:top w:val="nil"/>
              <w:left w:val="nil"/>
              <w:bottom w:val="nil"/>
              <w:right w:val="nil"/>
              <w:between w:val="nil"/>
            </w:pBdr>
            <w:tabs>
              <w:tab w:val="center" w:pos="4680"/>
              <w:tab w:val="right" w:pos="9360"/>
            </w:tabs>
            <w:rPr>
              <w:rFonts w:ascii="Twentieth Century" w:eastAsia="Twentieth Century" w:hAnsi="Twentieth Century" w:cs="Twentieth Century"/>
              <w:color w:val="000000"/>
              <w:sz w:val="16"/>
              <w:szCs w:val="16"/>
            </w:rPr>
          </w:pPr>
        </w:p>
      </w:tc>
      <w:tc>
        <w:tcPr>
          <w:tcW w:w="2957" w:type="dxa"/>
          <w:vAlign w:val="center"/>
        </w:tcPr>
        <w:p w14:paraId="508E1B26" w14:textId="77777777" w:rsidR="00D23CC1" w:rsidRDefault="00D23CC1">
          <w:pPr>
            <w:pBdr>
              <w:top w:val="nil"/>
              <w:left w:val="nil"/>
              <w:bottom w:val="nil"/>
              <w:right w:val="nil"/>
              <w:between w:val="nil"/>
            </w:pBdr>
            <w:tabs>
              <w:tab w:val="center" w:pos="4680"/>
              <w:tab w:val="right" w:pos="9360"/>
            </w:tabs>
            <w:ind w:right="19"/>
            <w:jc w:val="right"/>
            <w:rPr>
              <w:rFonts w:ascii="Twentieth Century" w:eastAsia="Twentieth Century" w:hAnsi="Twentieth Century" w:cs="Twentieth Century"/>
              <w:color w:val="000000"/>
              <w:sz w:val="16"/>
              <w:szCs w:val="16"/>
            </w:rPr>
          </w:pPr>
        </w:p>
      </w:tc>
    </w:tr>
  </w:tbl>
  <w:p w14:paraId="0228650C" w14:textId="77777777" w:rsidR="00D23CC1" w:rsidRDefault="00D23CC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210E"/>
    <w:multiLevelType w:val="multilevel"/>
    <w:tmpl w:val="908CB5EC"/>
    <w:lvl w:ilvl="0">
      <w:start w:val="1"/>
      <w:numFmt w:val="decimal"/>
      <w:lvlText w:val="[%1]"/>
      <w:lvlJc w:val="left"/>
      <w:pPr>
        <w:ind w:left="360" w:hanging="360"/>
      </w:pPr>
      <w:rPr>
        <w:rFonts w:ascii="Times New Roman" w:eastAsia="Times New Roman" w:hAnsi="Times New Roman" w:cs="Times New Roman"/>
        <w:b/>
        <w:bCs/>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E8551A"/>
    <w:multiLevelType w:val="multilevel"/>
    <w:tmpl w:val="166ECDFC"/>
    <w:lvl w:ilvl="0">
      <w:start w:val="1"/>
      <w:numFmt w:val="bullet"/>
      <w:lvlText w:val="»"/>
      <w:lvlJc w:val="left"/>
      <w:pPr>
        <w:ind w:left="720" w:hanging="360"/>
      </w:pPr>
      <w:rPr>
        <w:rFonts w:ascii="Twentieth Century" w:eastAsia="Twentieth Century" w:hAnsi="Twentieth Century" w:cs="Twentieth Centur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3713335"/>
    <w:multiLevelType w:val="multilevel"/>
    <w:tmpl w:val="7E8C20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3629526">
    <w:abstractNumId w:val="2"/>
  </w:num>
  <w:num w:numId="2" w16cid:durableId="1326204713">
    <w:abstractNumId w:val="0"/>
  </w:num>
  <w:num w:numId="3" w16cid:durableId="347870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CC1"/>
    <w:rsid w:val="0003166C"/>
    <w:rsid w:val="000A52FA"/>
    <w:rsid w:val="000B146F"/>
    <w:rsid w:val="0063710B"/>
    <w:rsid w:val="006659BD"/>
    <w:rsid w:val="0074428B"/>
    <w:rsid w:val="008834A1"/>
    <w:rsid w:val="00AF7D54"/>
    <w:rsid w:val="00B2521F"/>
    <w:rsid w:val="00C23FDF"/>
    <w:rsid w:val="00D23CC1"/>
    <w:rsid w:val="00D429BE"/>
    <w:rsid w:val="00F16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CA065"/>
  <w15:docId w15:val="{F3CA9D69-1B06-4E00-B62A-FB545AA9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4428B"/>
    <w:pPr>
      <w:tabs>
        <w:tab w:val="center" w:pos="4680"/>
        <w:tab w:val="right" w:pos="9360"/>
      </w:tabs>
    </w:pPr>
  </w:style>
  <w:style w:type="character" w:customStyle="1" w:styleId="HeaderChar">
    <w:name w:val="Header Char"/>
    <w:basedOn w:val="DefaultParagraphFont"/>
    <w:link w:val="Header"/>
    <w:uiPriority w:val="99"/>
    <w:rsid w:val="0074428B"/>
  </w:style>
  <w:style w:type="paragraph" w:styleId="Footer">
    <w:name w:val="footer"/>
    <w:basedOn w:val="Normal"/>
    <w:link w:val="FooterChar"/>
    <w:uiPriority w:val="99"/>
    <w:unhideWhenUsed/>
    <w:rsid w:val="0074428B"/>
    <w:pPr>
      <w:tabs>
        <w:tab w:val="center" w:pos="4680"/>
        <w:tab w:val="right" w:pos="9360"/>
      </w:tabs>
    </w:pPr>
  </w:style>
  <w:style w:type="character" w:customStyle="1" w:styleId="FooterChar">
    <w:name w:val="Footer Char"/>
    <w:basedOn w:val="DefaultParagraphFont"/>
    <w:link w:val="Footer"/>
    <w:uiPriority w:val="99"/>
    <w:rsid w:val="0074428B"/>
  </w:style>
  <w:style w:type="paragraph" w:styleId="ListParagraph">
    <w:name w:val="List Paragraph"/>
    <w:basedOn w:val="Normal"/>
    <w:uiPriority w:val="34"/>
    <w:qFormat/>
    <w:rsid w:val="00AF7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ipmuonline.com/guide/refstyle.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sa/4.0/" TargetMode="External"/><Relationship Id="rId12" Type="http://schemas.openxmlformats.org/officeDocument/2006/relationships/image" Target="media/image4.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2830</Words>
  <Characters>16135</Characters>
  <Application>Microsoft Office Word</Application>
  <DocSecurity>0</DocSecurity>
  <Lines>134</Lines>
  <Paragraphs>37</Paragraphs>
  <ScaleCrop>false</ScaleCrop>
  <Company/>
  <LinksUpToDate>false</LinksUpToDate>
  <CharactersWithSpaces>18928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Elvira Gladys</cp:lastModifiedBy>
  <cp:revision>11</cp:revision>
  <dcterms:created xsi:type="dcterms:W3CDTF">2026-08-31T16:21:00Z</dcterms:created>
  <dcterms:modified xsi:type="dcterms:W3CDTF">2026-09-02T13:24:00Z</dcterms:modified>
</cp:coreProperties>
</file>