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pPr>
      <w:r>
        <w:t xml:space="preserve">BAB IV  HASIL DAN PEMBAHASAN</w:t>
      </w:r>
    </w:p>
    <w:p>
      <w:pPr>
        <w:spacing w:after="160" w:line="276"/>
        <w:ind w:firstLine="480"/>
        <w:jc w:val="both"/>
      </w:pPr>
      <w:r>
        <w:t xml:space="preserve">Bab ini memaparkan hasil penerapan model Long Short-Term Memory (LSTM) untuk memprediksi revenue harian kantin DTEDI, mulai dari deskripsi data dan eksplorasi awal, tahapan pra-pemrosesan, perancangan skenario eksperimen, hingga evaluasi model. Untuk menjamin objektivitas penilaian, performa LSTM tidak hanya dilaporkan secara tunggal, melainkan dibandingkan terhadap tiga metode pembanding (baseline naif, rata-rata bergerak, dan SARIMA) serta diuji kestabilannya melalui evaluasi multi-seed.</w:t>
      </w:r>
    </w:p>
    <w:p>
      <w:pPr>
        <w:pStyle w:val="Heading1"/>
        <w:spacing w:after="200" w:before="240"/>
      </w:pPr>
      <w:r>
        <w:t xml:space="preserve">4.1  Deskripsi Data dan Eksplorasi Awal</w:t>
      </w:r>
    </w:p>
    <w:p>
      <w:pPr>
        <w:spacing w:after="160" w:line="276"/>
        <w:ind w:firstLine="480"/>
        <w:jc w:val="both"/>
      </w:pPr>
      <w:r>
        <w:t xml:space="preserve">Data yang digunakan merupakan rekapitulasi transaksi kantin DTEDI pada periode 26 Agustus 2024 hingga 20 Juni 2026. Setelah agregasi per hari dan penyaringan terhadap hari tanpa transaksi, diperoleh 313 hari aktif bisnis. Statistik ringkas data ditampilkan pada Tabel 4.1.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jc w:val="left"/>
            </w:pPr>
            <w:r>
              <w:rPr>
                <w:b/>
                <w:bCs/>
                <w:color w:val="FFFFFF"/>
                <w:sz w:val="20"/>
                <w:szCs w:val="20"/>
              </w:rPr>
              <w:t xml:space="preserve">Karakteristik</w:t>
            </w:r>
          </w:p>
        </w:tc>
        <w:tc>
          <w:tcPr>
            <w:tcW w:type="dxa" w:w="46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jc w:val="center"/>
            </w:pPr>
            <w:r>
              <w:rPr>
                <w:b/>
                <w:bCs/>
                <w:color w:val="FFFFFF"/>
                <w:sz w:val="20"/>
                <w:szCs w:val="20"/>
              </w:rPr>
              <w:t xml:space="preserve">Nilai</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left"/>
            </w:pPr>
            <w:r>
              <w:rPr>
                <w:b/>
                <w:bCs/>
                <w:color w:val="000000"/>
                <w:sz w:val="20"/>
                <w:szCs w:val="20"/>
              </w:rPr>
              <w:t xml:space="preserve">Jumlah hari aktif</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313 hari</w:t>
            </w:r>
          </w:p>
        </w:tc>
      </w:tr>
      <w:tr>
        <w:tc>
          <w:tcPr>
            <w:tcW w:type="dxa" w:w="468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left"/>
            </w:pPr>
            <w:r>
              <w:rPr>
                <w:b/>
                <w:bCs/>
                <w:color w:val="000000"/>
                <w:sz w:val="20"/>
                <w:szCs w:val="20"/>
              </w:rPr>
              <w:t xml:space="preserve">Rentang waktu</w:t>
            </w:r>
          </w:p>
        </w:tc>
        <w:tc>
          <w:tcPr>
            <w:tcW w:type="dxa" w:w="468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26 Agu 2024 – 20 Jun 2026</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left"/>
            </w:pPr>
            <w:r>
              <w:rPr>
                <w:b/>
                <w:bCs/>
                <w:color w:val="000000"/>
                <w:sz w:val="20"/>
                <w:szCs w:val="20"/>
              </w:rPr>
              <w:t xml:space="preserve">Total revenue</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Rp 471.200.494</w:t>
            </w:r>
          </w:p>
        </w:tc>
      </w:tr>
      <w:tr>
        <w:tc>
          <w:tcPr>
            <w:tcW w:type="dxa" w:w="468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left"/>
            </w:pPr>
            <w:r>
              <w:rPr>
                <w:b/>
                <w:bCs/>
                <w:color w:val="000000"/>
                <w:sz w:val="20"/>
                <w:szCs w:val="20"/>
              </w:rPr>
              <w:t xml:space="preserve">Rata-rata revenue per hari aktif</w:t>
            </w:r>
          </w:p>
        </w:tc>
        <w:tc>
          <w:tcPr>
            <w:tcW w:type="dxa" w:w="468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Rp 1.505.433</w:t>
            </w:r>
          </w:p>
        </w:tc>
      </w:tr>
      <w:tr>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left"/>
            </w:pPr>
            <w:r>
              <w:rPr>
                <w:b/>
                <w:bCs/>
                <w:color w:val="000000"/>
                <w:sz w:val="20"/>
                <w:szCs w:val="20"/>
              </w:rPr>
              <w:t xml:space="preserve">Revenue tertinggi</w:t>
            </w:r>
          </w:p>
        </w:tc>
        <w:tc>
          <w:tcPr>
            <w:tcW w:type="dxa" w:w="46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Rp 3.738.500 (6 Mei 2026)</w:t>
            </w:r>
          </w:p>
        </w:tc>
      </w:tr>
    </w:tbl>
    <w:p>
      <w:pPr>
        <w:spacing w:after="120" w:before="60"/>
        <w:jc w:val="center"/>
      </w:pPr>
      <w:r>
        <w:rPr>
          <w:i/>
          <w:iCs/>
          <w:color w:val="555555"/>
          <w:sz w:val="20"/>
          <w:szCs w:val="20"/>
        </w:rPr>
        <w:t xml:space="preserve">Tabel 4.1  Statistik ringkas dataset revenue harian</w:t>
      </w:r>
    </w:p>
    <w:p>
      <w:pPr>
        <w:spacing w:after="160" w:line="276"/>
        <w:ind w:firstLine="480"/>
        <w:jc w:val="both"/>
      </w:pPr>
      <w:r>
        <w:t xml:space="preserve">Hasil eksplorasi menunjukkan bahwa deret revenue harian bersifat sangat fluktuatif dan dipengaruhi kuat oleh kalender akademik. Terdapat penurunan tajam pada masa libur semester (Januari dan Juli) serta variasi antar hari kerja, dengan kecenderungan revenue menurun menjelang akhir pekan. Pola musiman tahunan tidak dapat diamati secara penuh karena rentang data hanya mencakup kurang dari dua tahun, sehingga deret tergolong pendek untuk standar pemodelan deret waktu berbasis pembelajaran mendalam.</w:t>
      </w:r>
    </w:p>
    <w:p>
      <w:pPr>
        <w:pStyle w:val="Heading1"/>
        <w:spacing w:after="200" w:before="240"/>
      </w:pPr>
      <w:r>
        <w:t xml:space="preserve">4.2  Pra-pemrosesan dan Pembentukan Sequence</w:t>
      </w:r>
    </w:p>
    <w:p>
      <w:pPr>
        <w:spacing w:after="160" w:line="276"/>
        <w:ind w:firstLine="480"/>
        <w:jc w:val="both"/>
      </w:pPr>
      <w:r>
        <w:t xml:space="preserve">Pemodelan difokuskan pada granularitas harian dengan strategi prediksi satu langkah ke depan (one-step-ahead). Untuk menstabilkan ragam data yang lonjakannya ekstrem, target tidak diprediksi dalam bentuk nilai mentah melainkan dalam bentuk log-return, yaitu selisih logaritmik revenue antar hari aktif berurutan. Pendekatan residual ini membuat model cukup mempelajari koreksi terhadap nilai hari sebelumnya, sehingga secara desain mewarisi sifat persistensi yang melekat pada deret revenue.</w:t>
      </w:r>
    </w:p>
    <w:p>
      <w:pPr>
        <w:spacing w:after="160" w:line="276"/>
        <w:ind w:firstLine="480"/>
        <w:jc w:val="both"/>
      </w:pPr>
      <w:r>
        <w:t xml:space="preserve">Fitur masukan terdiri atas log-return dan enam fitur kalender yang dikodekan secara siklikal (sinus–kosinus untuk minggu, bulan, dan hari) serta penanda Ramadan. Variabel jumlah transaksi dan kuantitas terjual sengaja tidak digunakan sebagai masukan, karena nilai keduanya tidak tersedia pada saat prediksi masa depan dan penggunaannya akan menimbulkan kebocoran data (data leakage). Penskalaan dilakukan menggunakan MinMaxScaler yang di-fit hanya pada data latih untuk mencegah kebocoran informasi dari data uji.</w:t>
      </w:r>
    </w:p>
    <w:p>
      <w:pPr>
        <w:spacing w:after="160" w:line="276"/>
        <w:ind w:firstLine="480"/>
        <w:jc w:val="both"/>
      </w:pPr>
      <w:r>
        <w:t xml:space="preserve">Pembagian data dilakukan secara kronologis dengan proporsi 70/15/15. Pembentukan sequence menggunakan panjang look-back tujuh hari aktif. Rincian pembagian data disajikan pada Tabel 4.2.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rPr>
          <w:tblHeader/>
        </w:trPr>
        <w:tc>
          <w:tcPr>
            <w:tcW w:type="dxa" w:w="312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jc w:val="left"/>
            </w:pPr>
            <w:r>
              <w:rPr>
                <w:b/>
                <w:bCs/>
                <w:color w:val="FFFFFF"/>
                <w:sz w:val="20"/>
                <w:szCs w:val="20"/>
              </w:rPr>
              <w:t xml:space="preserve">Subset</w:t>
            </w:r>
          </w:p>
        </w:tc>
        <w:tc>
          <w:tcPr>
            <w:tcW w:type="dxa" w:w="20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jc w:val="center"/>
            </w:pPr>
            <w:r>
              <w:rPr>
                <w:b/>
                <w:bCs/>
                <w:color w:val="FFFFFF"/>
                <w:sz w:val="20"/>
                <w:szCs w:val="20"/>
              </w:rPr>
              <w:t xml:space="preserve">Jumlah hari</w:t>
            </w:r>
          </w:p>
        </w:tc>
        <w:tc>
          <w:tcPr>
            <w:tcW w:type="dxa" w:w="20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jc w:val="center"/>
            </w:pPr>
            <w:r>
              <w:rPr>
                <w:b/>
                <w:bCs/>
                <w:color w:val="FFFFFF"/>
                <w:sz w:val="20"/>
                <w:szCs w:val="20"/>
              </w:rPr>
              <w:t xml:space="preserve">Jumlah sequence</w:t>
            </w:r>
          </w:p>
        </w:tc>
        <w:tc>
          <w:tcPr>
            <w:tcW w:type="dxa" w:w="208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jc w:val="center"/>
            </w:pPr>
            <w:r>
              <w:rPr>
                <w:b/>
                <w:bCs/>
                <w:color w:val="FFFFFF"/>
                <w:sz w:val="20"/>
                <w:szCs w:val="20"/>
              </w:rPr>
              <w:t xml:space="preserve">Dimensi masukan</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left"/>
            </w:pPr>
            <w:r>
              <w:rPr>
                <w:b/>
                <w:bCs/>
                <w:color w:val="000000"/>
                <w:sz w:val="20"/>
                <w:szCs w:val="20"/>
              </w:rPr>
              <w:t xml:space="preserve">Latih (train)</w:t>
            </w:r>
          </w:p>
        </w:tc>
        <w:tc>
          <w:tcPr>
            <w:tcW w:type="dxa" w:w="2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219</w:t>
            </w:r>
          </w:p>
        </w:tc>
        <w:tc>
          <w:tcPr>
            <w:tcW w:type="dxa" w:w="2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212</w:t>
            </w:r>
          </w:p>
        </w:tc>
        <w:tc>
          <w:tcPr>
            <w:tcW w:type="dxa" w:w="2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(212, 7, 8)</w:t>
            </w:r>
          </w:p>
        </w:tc>
      </w:tr>
      <w:tr>
        <w:tc>
          <w:tcPr>
            <w:tcW w:type="dxa" w:w="312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left"/>
            </w:pPr>
            <w:r>
              <w:rPr>
                <w:b/>
                <w:bCs/>
                <w:color w:val="000000"/>
                <w:sz w:val="20"/>
                <w:szCs w:val="20"/>
              </w:rPr>
              <w:t xml:space="preserve">Validasi (val)</w:t>
            </w:r>
          </w:p>
        </w:tc>
        <w:tc>
          <w:tcPr>
            <w:tcW w:type="dxa" w:w="208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46</w:t>
            </w:r>
          </w:p>
        </w:tc>
        <w:tc>
          <w:tcPr>
            <w:tcW w:type="dxa" w:w="208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39</w:t>
            </w:r>
          </w:p>
        </w:tc>
        <w:tc>
          <w:tcPr>
            <w:tcW w:type="dxa" w:w="208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(39, 7, 8)</w:t>
            </w:r>
          </w:p>
        </w:tc>
      </w:tr>
      <w:tr>
        <w:tc>
          <w:tcPr>
            <w:tcW w:type="dxa" w:w="312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left"/>
            </w:pPr>
            <w:r>
              <w:rPr>
                <w:b/>
                <w:bCs/>
                <w:color w:val="000000"/>
                <w:sz w:val="20"/>
                <w:szCs w:val="20"/>
              </w:rPr>
              <w:t xml:space="preserve">Uji (test)</w:t>
            </w:r>
          </w:p>
        </w:tc>
        <w:tc>
          <w:tcPr>
            <w:tcW w:type="dxa" w:w="2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48</w:t>
            </w:r>
          </w:p>
        </w:tc>
        <w:tc>
          <w:tcPr>
            <w:tcW w:type="dxa" w:w="2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41</w:t>
            </w:r>
          </w:p>
        </w:tc>
        <w:tc>
          <w:tcPr>
            <w:tcW w:type="dxa" w:w="208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(41, 7, 8)</w:t>
            </w:r>
          </w:p>
        </w:tc>
      </w:tr>
    </w:tbl>
    <w:p>
      <w:pPr>
        <w:spacing w:after="120" w:before="60"/>
        <w:jc w:val="center"/>
      </w:pPr>
      <w:r>
        <w:rPr>
          <w:i/>
          <w:iCs/>
          <w:color w:val="555555"/>
          <w:sz w:val="20"/>
          <w:szCs w:val="20"/>
        </w:rPr>
        <w:t xml:space="preserve">Tabel 4.2  Pembagian data dan dimensi sequence</w:t>
      </w:r>
    </w:p>
    <w:p>
      <w:pPr>
        <w:pStyle w:val="Heading1"/>
        <w:spacing w:after="200" w:before="240"/>
      </w:pPr>
      <w:r>
        <w:t xml:space="preserve">4.3  Arsitektur Model dan Skenario Eksperimen</w:t>
      </w:r>
    </w:p>
    <w:p>
      <w:pPr>
        <w:spacing w:after="160" w:line="276"/>
        <w:ind w:firstLine="480"/>
        <w:jc w:val="both"/>
      </w:pPr>
      <w:r>
        <w:t xml:space="preserve">Arsitektur yang digunakan adalah LSTM satu lapis dengan 24 unit, diikuti dropout 0,1, lapisan dense 16 neuron beraktivasi ReLU, dan lapisan keluaran tunggal. Total parameter hanya 3.585. Pemilihan arsitektur ringkas ini didasari pertimbangan bahwa jumlah sampel latih sangat terbatas, sehingga model berkapasitas besar berisiko tinggi mengalami kegagalan konvergensi maupun overfitting. Optimisasi menggunakan Adam dengan learning rate awal 5×10⁻⁴, fungsi galat MSE, serta callback EarlyStopping dan ReduceLROnPlateau.</w:t>
      </w:r>
    </w:p>
    <w:p>
      <w:pPr>
        <w:spacing w:after="160" w:line="276"/>
        <w:ind w:firstLine="480"/>
        <w:jc w:val="both"/>
      </w:pPr>
      <w:r>
        <w:t xml:space="preserve">Evaluasi menggunakan empat metrik, yakni RMSE, MAE, sMAPE, dan MASE. Metrik MAPE tidak digunakan karena pada data ini terdapat hari dengan revenue mendekati nol, yang menyebabkan nilai MAPE meledak hingga tidak bermakna. MASE dipilih sebagai metrik utama karena bersifat ternormalisasi terhadap galat naif in-sample sehingga mudah diinterpretasikan: nilai MASE kurang dari satu menandakan model lebih baik daripada prediksi naif.</w:t>
      </w:r>
    </w:p>
    <w:p>
      <w:pPr>
        <w:spacing w:after="160" w:line="276"/>
        <w:ind w:firstLine="480"/>
        <w:jc w:val="both"/>
      </w:pPr>
      <w:r>
        <w:t xml:space="preserve">Sebagai pembanding digunakan tiga metode: (1) naive, yaitu prediksi sama dengan revenue hari aktif sebelumnya; (2) Mean-7, yaitu rata-rata tujuh hari aktif terakhir; dan (3) SARIMA dengan skema rolling one-step. Ketiga pembanding ini bersifat deterministik sehingga menghasilkan nilai tetap.</w:t>
      </w:r>
    </w:p>
    <w:p>
      <w:pPr>
        <w:pStyle w:val="Heading1"/>
        <w:spacing w:after="200" w:before="240"/>
      </w:pPr>
      <w:r>
        <w:t xml:space="preserve">4.4  Hasil Pelatihan Model</w:t>
      </w:r>
    </w:p>
    <w:p>
      <w:pPr>
        <w:spacing w:after="160" w:line="276"/>
        <w:ind w:firstLine="480"/>
        <w:jc w:val="both"/>
      </w:pPr>
      <w:r>
        <w:t xml:space="preserve">Pada konfigurasi akhir, proses pelatihan berlangsung wajar: galat validasi menurun secara konsisten melampaui epoch pertama dan EarlyStopping mengembalikan bobot terbaik sebelum terjadi overfitting. Hal ini berbeda dengan konfigurasi awal penelitian yang menggunakan arsitektur lebih besar dan target nilai mentah, di mana model gagal belajar (galat validasi terbaik justru berada pada epoch pertama) dan menghasilkan prediksi yang secara sistematis jauh di bawah nilai aktual. Penyederhanaan arsitektur, penggunaan target log-return, serta strategi one-step-ahead terbukti memperbaiki kualitas pelatihan secara substansial; MAE uji terbaik LSTM turun dari sekitar Rp 1.805.000 pada konfigurasi awal menjadi kisaran Rp 500.000–600.000 pada konfigurasi akhir.</w:t>
      </w:r>
    </w:p>
    <w:p>
      <w:pPr>
        <w:pStyle w:val="Heading1"/>
        <w:spacing w:after="200" w:before="240"/>
      </w:pPr>
      <w:r>
        <w:t xml:space="preserve">4.5  Evaluasi dan Perbandingan dengan Baseline</w:t>
      </w:r>
    </w:p>
    <w:p>
      <w:pPr>
        <w:spacing w:after="160" w:line="276"/>
        <w:ind w:firstLine="480"/>
        <w:jc w:val="both"/>
      </w:pPr>
      <w:r>
        <w:t xml:space="preserve">Hasil evaluasi pada data uji untuk seluruh metode disajikan pada Tabel 4.3. Nilai LSTM Hybrid pada tabel ini merupakan rata-rata dari sepuluh percobaan dengan inisialisasi acak berbeda, yang akan diuraikan lebih lanjut pada Subbab 4.6.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1740"/>
        <w:gridCol w:w="1740"/>
        <w:gridCol w:w="1560"/>
        <w:gridCol w:w="1560"/>
      </w:tblGrid>
      <w:tr>
        <w:trPr>
          <w:tblHeader/>
        </w:trPr>
        <w:tc>
          <w:tcPr>
            <w:tcW w:type="dxa" w:w="2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jc w:val="left"/>
            </w:pPr>
            <w:r>
              <w:rPr>
                <w:b/>
                <w:bCs/>
                <w:color w:val="FFFFFF"/>
                <w:sz w:val="20"/>
                <w:szCs w:val="20"/>
              </w:rPr>
              <w:t xml:space="preserve">Model</w:t>
            </w:r>
          </w:p>
        </w:tc>
        <w:tc>
          <w:tcPr>
            <w:tcW w:type="dxa" w:w="174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jc w:val="center"/>
            </w:pPr>
            <w:r>
              <w:rPr>
                <w:b/>
                <w:bCs/>
                <w:color w:val="FFFFFF"/>
                <w:sz w:val="20"/>
                <w:szCs w:val="20"/>
              </w:rPr>
              <w:t xml:space="preserve">MAE (Rp)</w:t>
            </w:r>
          </w:p>
        </w:tc>
        <w:tc>
          <w:tcPr>
            <w:tcW w:type="dxa" w:w="174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jc w:val="center"/>
            </w:pPr>
            <w:r>
              <w:rPr>
                <w:b/>
                <w:bCs/>
                <w:color w:val="FFFFFF"/>
                <w:sz w:val="20"/>
                <w:szCs w:val="20"/>
              </w:rPr>
              <w:t xml:space="preserve">RMSE (Rp)</w:t>
            </w:r>
          </w:p>
        </w:tc>
        <w:tc>
          <w:tcPr>
            <w:tcW w:type="dxa" w:w="15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jc w:val="center"/>
            </w:pPr>
            <w:r>
              <w:rPr>
                <w:b/>
                <w:bCs/>
                <w:color w:val="FFFFFF"/>
                <w:sz w:val="20"/>
                <w:szCs w:val="20"/>
              </w:rPr>
              <w:t xml:space="preserve">sMAPE</w:t>
            </w:r>
          </w:p>
        </w:tc>
        <w:tc>
          <w:tcPr>
            <w:tcW w:type="dxa" w:w="15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jc w:val="center"/>
            </w:pPr>
            <w:r>
              <w:rPr>
                <w:b/>
                <w:bCs/>
                <w:color w:val="FFFFFF"/>
                <w:sz w:val="20"/>
                <w:szCs w:val="20"/>
              </w:rPr>
              <w:t xml:space="preserve">MASE</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left"/>
            </w:pPr>
            <w:r>
              <w:rPr>
                <w:b/>
                <w:bCs/>
                <w:color w:val="000000"/>
                <w:sz w:val="20"/>
                <w:szCs w:val="20"/>
              </w:rPr>
              <w:t xml:space="preserve">Naive (kemarin)</w:t>
            </w:r>
          </w:p>
        </w:tc>
        <w:tc>
          <w:tcPr>
            <w:tcW w:type="dxa" w:w="17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519.841</w:t>
            </w:r>
          </w:p>
        </w:tc>
        <w:tc>
          <w:tcPr>
            <w:tcW w:type="dxa" w:w="17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697.253</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30,77%</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1,432</w:t>
            </w:r>
          </w:p>
        </w:tc>
      </w:tr>
      <w:tr>
        <w:tc>
          <w:tcPr>
            <w:tcW w:type="dxa" w:w="27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left"/>
            </w:pPr>
            <w:r>
              <w:rPr>
                <w:b/>
                <w:bCs/>
                <w:color w:val="000000"/>
                <w:sz w:val="20"/>
                <w:szCs w:val="20"/>
              </w:rPr>
              <w:t xml:space="preserve">SARIMA</w:t>
            </w:r>
          </w:p>
        </w:tc>
        <w:tc>
          <w:tcPr>
            <w:tcW w:type="dxa" w:w="17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586.083</w:t>
            </w:r>
          </w:p>
        </w:tc>
        <w:tc>
          <w:tcPr>
            <w:tcW w:type="dxa" w:w="17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751.408</w:t>
            </w:r>
          </w:p>
        </w:tc>
        <w:tc>
          <w:tcPr>
            <w:tcW w:type="dxa" w:w="15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33,80%</w:t>
            </w:r>
          </w:p>
        </w:tc>
        <w:tc>
          <w:tcPr>
            <w:tcW w:type="dxa" w:w="15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1,615</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left"/>
            </w:pPr>
            <w:r>
              <w:rPr>
                <w:b/>
                <w:bCs/>
                <w:color w:val="000000"/>
                <w:sz w:val="20"/>
                <w:szCs w:val="20"/>
              </w:rPr>
              <w:t xml:space="preserve">Mean-7</w:t>
            </w:r>
          </w:p>
        </w:tc>
        <w:tc>
          <w:tcPr>
            <w:tcW w:type="dxa" w:w="17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647.263</w:t>
            </w:r>
          </w:p>
        </w:tc>
        <w:tc>
          <w:tcPr>
            <w:tcW w:type="dxa" w:w="174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791.746</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36,25%</w:t>
            </w:r>
          </w:p>
        </w:tc>
        <w:tc>
          <w:tcPr>
            <w:tcW w:type="dxa" w:w="15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1,784</w:t>
            </w:r>
          </w:p>
        </w:tc>
      </w:tr>
      <w:tr>
        <w:tc>
          <w:tcPr>
            <w:tcW w:type="dxa" w:w="27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left"/>
            </w:pPr>
            <w:r>
              <w:rPr>
                <w:b/>
                <w:bCs/>
                <w:color w:val="000000"/>
                <w:sz w:val="20"/>
                <w:szCs w:val="20"/>
              </w:rPr>
              <w:t xml:space="preserve">LSTM Hybrid (rata-rata)</w:t>
            </w:r>
          </w:p>
        </w:tc>
        <w:tc>
          <w:tcPr>
            <w:tcW w:type="dxa" w:w="17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667.718</w:t>
            </w:r>
          </w:p>
        </w:tc>
        <w:tc>
          <w:tcPr>
            <w:tcW w:type="dxa" w:w="174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897.563</w:t>
            </w:r>
          </w:p>
        </w:tc>
        <w:tc>
          <w:tcPr>
            <w:tcW w:type="dxa" w:w="15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38,06%</w:t>
            </w:r>
          </w:p>
        </w:tc>
        <w:tc>
          <w:tcPr>
            <w:tcW w:type="dxa" w:w="15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1,840</w:t>
            </w:r>
          </w:p>
        </w:tc>
      </w:tr>
    </w:tbl>
    <w:p>
      <w:pPr>
        <w:spacing w:after="120" w:before="60"/>
        <w:jc w:val="center"/>
      </w:pPr>
      <w:r>
        <w:rPr>
          <w:i/>
          <w:iCs/>
          <w:color w:val="555555"/>
          <w:sz w:val="20"/>
          <w:szCs w:val="20"/>
        </w:rPr>
        <w:t xml:space="preserve">Tabel 4.3  Perbandingan performa pada data uji (one-step-ahead)</w:t>
      </w:r>
    </w:p>
    <w:p>
      <w:pPr>
        <w:spacing w:after="160" w:line="276"/>
        <w:ind w:firstLine="480"/>
        <w:jc w:val="both"/>
      </w:pPr>
      <w:r>
        <w:t xml:space="preserve">Berdasarkan rata-rata, metode naif justru memberikan galat terendah (MAE Rp 519.841), diikuti SARIMA dan Mean-7, sedangkan LSTM Hybrid menempati posisi terakhir dengan MAE rata-rata Rp 667.718. Temuan ini konsisten dengan karakteristik data: revenue harian sangat didominasi persistensi jangka pendek, yaitu nilai hari ini cenderung mendekati nilai kemarin. Pola semacam ini sudah ditangkap secara efisien oleh prediksi naif tanpa memerlukan pemodelan kompleks, sehingga LSTM tidak memperoleh keunggulan informatif yang berarti dan justru cenderung melakukan penghalusan berlebih (over-smoothing) yang merugikan ketika terjadi lonjakan harian.</w:t>
      </w:r>
    </w:p>
    <w:p>
      <w:pPr>
        <w:pStyle w:val="Heading1"/>
        <w:spacing w:after="200" w:before="240"/>
      </w:pPr>
      <w:r>
        <w:t xml:space="preserve">4.6  Evaluasi Multi-Seed dan Analisis Kestabilan</w:t>
      </w:r>
    </w:p>
    <w:p>
      <w:pPr>
        <w:spacing w:after="160" w:line="276"/>
        <w:ind w:firstLine="480"/>
        <w:jc w:val="both"/>
      </w:pPr>
      <w:r>
        <w:t xml:space="preserve">Mengingat keterbatasan jumlah data, performa LSTM sangat rentan terhadap inisialisasi bobot acak. Untuk memperoleh penilaian yang adil dan dapat direproduksi, model dilatih sebanyak sepuluh kali dengan seed berbeda. Ringkasan statistik hasil sepuluh percobaan ditampilkan pada Tabel 4.4.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60"/>
        <w:gridCol w:w="3300"/>
        <w:gridCol w:w="3300"/>
      </w:tblGrid>
      <w:tr>
        <w:trPr>
          <w:tblHeader/>
        </w:trPr>
        <w:tc>
          <w:tcPr>
            <w:tcW w:type="dxa" w:w="276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jc w:val="left"/>
            </w:pPr>
            <w:r>
              <w:rPr>
                <w:b/>
                <w:bCs/>
                <w:color w:val="FFFFFF"/>
                <w:sz w:val="20"/>
                <w:szCs w:val="20"/>
              </w:rPr>
              <w:t xml:space="preserve">Metrik</w:t>
            </w:r>
          </w:p>
        </w:tc>
        <w:tc>
          <w:tcPr>
            <w:tcW w:type="dxa" w:w="3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jc w:val="center"/>
            </w:pPr>
            <w:r>
              <w:rPr>
                <w:b/>
                <w:bCs/>
                <w:color w:val="FFFFFF"/>
                <w:sz w:val="20"/>
                <w:szCs w:val="20"/>
              </w:rPr>
              <w:t xml:space="preserve">Rata-rata ± Simpangan baku</w:t>
            </w:r>
          </w:p>
        </w:tc>
        <w:tc>
          <w:tcPr>
            <w:tcW w:type="dxa" w:w="3300"/>
            <w:tcBorders>
              <w:top w:val="single" w:color="BBBBBB" w:sz="1"/>
              <w:left w:val="single" w:color="BBBBBB" w:sz="1"/>
              <w:bottom w:val="single" w:color="BBBBBB" w:sz="1"/>
              <w:right w:val="single" w:color="BBBBBB" w:sz="1"/>
            </w:tcBorders>
            <w:shd w:fill="1F4E79" w:val="clear"/>
            <w:tcMar>
              <w:top w:type="dxa" w:w="60"/>
              <w:left w:type="dxa" w:w="110"/>
              <w:bottom w:type="dxa" w:w="60"/>
              <w:right w:type="dxa" w:w="110"/>
            </w:tcMar>
            <w:vAlign w:val="center"/>
          </w:tcPr>
          <w:p>
            <w:pPr>
              <w:spacing w:after="0"/>
              <w:jc w:val="center"/>
            </w:pPr>
            <w:r>
              <w:rPr>
                <w:b/>
                <w:bCs/>
                <w:color w:val="FFFFFF"/>
                <w:sz w:val="20"/>
                <w:szCs w:val="20"/>
              </w:rPr>
              <w:t xml:space="preserve">Rentang (min – maks)</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left"/>
            </w:pPr>
            <w:r>
              <w:rPr>
                <w:b/>
                <w:bCs/>
                <w:color w:val="000000"/>
                <w:sz w:val="20"/>
                <w:szCs w:val="20"/>
              </w:rPr>
              <w:t xml:space="preserve">MAE (Rp)</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667.718 ± 145.024</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495.527 – 1.048.967</w:t>
            </w:r>
          </w:p>
        </w:tc>
      </w:tr>
      <w:tr>
        <w:tc>
          <w:tcPr>
            <w:tcW w:type="dxa" w:w="27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left"/>
            </w:pPr>
            <w:r>
              <w:rPr>
                <w:b/>
                <w:bCs/>
                <w:color w:val="000000"/>
                <w:sz w:val="20"/>
                <w:szCs w:val="20"/>
              </w:rPr>
              <w:t xml:space="preserve">RMSE (Rp)</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897.563 ± 165.804</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703.721 – 1.320.587</w:t>
            </w:r>
          </w:p>
        </w:tc>
      </w:tr>
      <w:tr>
        <w:tc>
          <w:tcPr>
            <w:tcW w:type="dxa" w:w="276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left"/>
            </w:pPr>
            <w:r>
              <w:rPr>
                <w:b/>
                <w:bCs/>
                <w:color w:val="000000"/>
                <w:sz w:val="20"/>
                <w:szCs w:val="20"/>
              </w:rPr>
              <w:t xml:space="preserve">sMAPE</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38,06% ± 3,96%</w:t>
            </w:r>
          </w:p>
        </w:tc>
        <w:tc>
          <w:tcPr>
            <w:tcW w:type="dxa" w:w="3300"/>
            <w:tcBorders>
              <w:top w:val="single" w:color="BBBBBB" w:sz="1"/>
              <w:left w:val="single" w:color="BBBBBB" w:sz="1"/>
              <w:bottom w:val="single" w:color="BBBBBB" w:sz="1"/>
              <w:right w:val="single" w:color="BBBBBB" w:sz="1"/>
            </w:tcBorders>
            <w:shd w:fill="FFFFFF"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29,16% – 44,63%</w:t>
            </w:r>
          </w:p>
        </w:tc>
      </w:tr>
      <w:tr>
        <w:tc>
          <w:tcPr>
            <w:tcW w:type="dxa" w:w="276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left"/>
            </w:pPr>
            <w:r>
              <w:rPr>
                <w:b/>
                <w:bCs/>
                <w:color w:val="000000"/>
                <w:sz w:val="20"/>
                <w:szCs w:val="20"/>
              </w:rPr>
              <w:t xml:space="preserve">MASE</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1,840 ± 0,400</w:t>
            </w:r>
          </w:p>
        </w:tc>
        <w:tc>
          <w:tcPr>
            <w:tcW w:type="dxa" w:w="3300"/>
            <w:tcBorders>
              <w:top w:val="single" w:color="BBBBBB" w:sz="1"/>
              <w:left w:val="single" w:color="BBBBBB" w:sz="1"/>
              <w:bottom w:val="single" w:color="BBBBBB" w:sz="1"/>
              <w:right w:val="single" w:color="BBBBBB" w:sz="1"/>
            </w:tcBorders>
            <w:shd w:fill="EEF3F8" w:val="clear"/>
            <w:tcMar>
              <w:top w:type="dxa" w:w="60"/>
              <w:left w:type="dxa" w:w="110"/>
              <w:bottom w:type="dxa" w:w="60"/>
              <w:right w:type="dxa" w:w="110"/>
            </w:tcMar>
            <w:vAlign w:val="center"/>
          </w:tcPr>
          <w:p>
            <w:pPr>
              <w:spacing w:after="0"/>
              <w:jc w:val="center"/>
            </w:pPr>
            <w:r>
              <w:rPr>
                <w:b w:val="false"/>
                <w:bCs w:val="false"/>
                <w:color w:val="000000"/>
                <w:sz w:val="20"/>
                <w:szCs w:val="20"/>
              </w:rPr>
              <w:t xml:space="preserve">1,365 – 2,891</w:t>
            </w:r>
          </w:p>
        </w:tc>
      </w:tr>
    </w:tbl>
    <w:p>
      <w:pPr>
        <w:spacing w:after="120" w:before="60"/>
        <w:jc w:val="center"/>
      </w:pPr>
      <w:r>
        <w:rPr>
          <w:i/>
          <w:iCs/>
          <w:color w:val="555555"/>
          <w:sz w:val="20"/>
          <w:szCs w:val="20"/>
        </w:rPr>
        <w:t xml:space="preserve">Tabel 4.4  Statistik performa LSTM Hybrid pada 10 seed</w:t>
      </w:r>
    </w:p>
    <w:p>
      <w:pPr>
        <w:spacing w:after="160" w:line="276"/>
        <w:ind w:firstLine="480"/>
        <w:jc w:val="both"/>
      </w:pPr>
      <w:r>
        <w:t xml:space="preserve">Dua hal penting terlihat dari hasil ini. Pertama, simpangan baku yang besar (MAE ±Rp 145.024; MASE ±0,40) menunjukkan bahwa performa LSTM tidak stabil pada ukuran data sekarang—hasil satu percobaan dapat sangat berbeda dari percobaan lain semata-mata karena perbedaan inisialisasi. Kedua, hanya 1 dari 10 percobaan (10%) yang berhasil mengungguli metode naif maupun SARIMA. Dengan demikian, percobaan tunggal yang menghasilkan MAE rendah harus dipandang sebagai kasus terbaik yang tidak mewakili perilaku rata-rata model, dan pelaporan berbasis satu percobaan berpotensi menyesatkan.</w:t>
      </w:r>
    </w:p>
    <w:p>
      <w:pPr>
        <w:pStyle w:val="Heading1"/>
        <w:spacing w:after="200" w:before="240"/>
      </w:pPr>
      <w:r>
        <w:t xml:space="preserve">4.7  Hasil Peramalan ke Depan</w:t>
      </w:r>
    </w:p>
    <w:p>
      <w:pPr>
        <w:spacing w:after="160" w:line="276"/>
        <w:ind w:firstLine="480"/>
        <w:jc w:val="both"/>
      </w:pPr>
      <w:r>
        <w:t xml:space="preserve">Untuk peramalan tujuh hari aktif ke depan secara rekursif, prediksi log-return yang di-compound antar langkah ditemukan tidak stabil dan cenderung meluruh secara eksponensial sehingga menghasilkan nilai yang tidak realistis. Setelah ditambahkan mekanisme pembatasan (clipping) dan peredaman (damping), nilai peramalan menjadi lebih wajar, namun secara praktis cenderung kembali pada pola persistensi untuk horizon yang lebih jauh. Oleh karena itu, untuk keperluan penerapan pada aplikasi, metode seasonal-naive dan SARIMA—yang menghasilkan peramalan stabil dan realistis—lebih direkomendasikan dibandingkan peramalan rekursif berbasis LSTM. Hasil evaluasi akurasi pada penelitian ini tetap mengacu pada skema one-step-ahead, sedangkan peramalan multi-langkah diposisikan sebagai ilustrasi penerapan.</w:t>
      </w:r>
    </w:p>
    <w:p>
      <w:pPr>
        <w:pStyle w:val="Heading1"/>
        <w:spacing w:after="200" w:before="240"/>
      </w:pPr>
      <w:r>
        <w:t xml:space="preserve">4.8  Pembahasan</w:t>
      </w:r>
    </w:p>
    <w:p>
      <w:pPr>
        <w:spacing w:after="160" w:line="276"/>
        <w:ind w:firstLine="480"/>
        <w:jc w:val="both"/>
      </w:pPr>
      <w:r>
        <w:t xml:space="preserve">Secara keseluruhan, penelitian ini menunjukkan bahwa pada dataset transaksi kantin dengan 313 hari aktif, model LSTM—termasuk varian hybrid residual yang merupakan konfigurasi terbaik—tidak mengungguli metode pembanding sederhana maupun SARIMA secara rata-rata, dan hanya kompetitif pada kasus terbaiknya. Hasil ini bukan merupakan anomali, melainkan sejalan dengan temuan luas dalam literatur peramalan yang menunjukkan bahwa metode statistik dan naif kerap mengungguli pendekatan pembelajaran mendalam ketika data yang tersedia terbatas dan deret didominasi oleh komponen persistensi.</w:t>
      </w:r>
    </w:p>
    <w:p>
      <w:pPr>
        <w:spacing w:after="160" w:line="276"/>
        <w:ind w:firstLine="480"/>
        <w:jc w:val="both"/>
      </w:pPr>
      <w:r>
        <w:t xml:space="preserve">Kontribusi utama penelitian terletak pada ketelitian metodologis evaluasi, yaitu penggunaan baseline yang tepat, pemilihan metrik yang sesuai dengan karakteristik data, serta pengujian kestabilan melalui evaluasi multi-seed. Kerangka evaluasi ini menghasilkan kesimpulan yang jujur dan dapat dipertanggungjawabkan, sekaligus memberikan rekomendasi praktis yang berguna: untuk skala data saat ini, metode naif atau SARIMA lebih layak diterapkan, sementara penggunaan LSTM baru relevan ditinjau kembali apabila volume dan rentang data bertambah secara signifikan.</w:t>
      </w:r>
    </w:p>
    <w:p>
      <w:pPr>
        <w:pStyle w:val="Heading1"/>
        <w:spacing w:after="200" w:before="240"/>
      </w:pPr>
      <w:r>
        <w:t xml:space="preserve">4.9  Keterbatasan Penelitian</w:t>
      </w:r>
    </w:p>
    <w:p>
      <w:pPr>
        <w:spacing w:after="160" w:line="276"/>
        <w:ind w:firstLine="480"/>
        <w:jc w:val="both"/>
      </w:pPr>
      <w:r>
        <w:t xml:space="preserve">Keterbatasan utama penelitian ini adalah jumlah data yang relatif sedikit untuk standar pemodelan LSTM, yakni 313 hari aktif yang menyusut menjadi sekitar 212 sampel latih setelah pembentukan sequence. Keterbatasan ini berdampak langsung pada ketidakstabilan model sebagaimana tercermin pada simpangan baku metrik yang besar. Selain itu, rentang data yang kurang dari dua tahun belum memungkinkan model mempelajari pola musiman tahunan secara utuh. Banyaknya hari nonaktif akibat libur akademik juga membuat deret menjadi terputus-putus, yang menyulitkan pembelajaran ketergantungan temporal. Penelitian lanjutan disarankan menggunakan rentang data yang lebih panjang serta mempertimbangkan pendekatan hybrid statistik–pembelajaran mesin untuk mengatasi keterbatasan tersebut.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Times New Roman" w:cs="Times New Roman" w:eastAsia="Times New Roman" w:hAnsi="Times New Roman"/>
      <w:b/>
      <w:bCs/>
      <w:color w:val="1F4E79"/>
      <w:sz w:val="28"/>
      <w:szCs w:val="28"/>
    </w:rPr>
  </w:style>
  <w:style w:type="paragraph" w:styleId="Heading2">
    <w:name w:val="Heading 2"/>
    <w:basedOn w:val="Normal"/>
    <w:next w:val="Normal"/>
    <w:qFormat/>
    <w:pPr>
      <w:spacing w:after="120" w:before="180"/>
      <w:outlineLvl w:val="1"/>
    </w:pPr>
    <w:rPr>
      <w:rFonts w:ascii="Times New Roman" w:cs="Times New Roman" w:eastAsia="Times New Roman" w:hAnsi="Times New Roman"/>
      <w:b/>
      <w:bCs/>
      <w:color w:val="2E5E8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2026-06-23T18:59:36.983Z</dcterms:created>
  <dcterms:modified xsi:type="dcterms:W3CDTF">2026-06-23T18:59:36.983Z</dcterms:modified>
</cp:coreProperties>
</file>

<file path=docProps/custom.xml><?xml version="1.0" encoding="utf-8"?>
<Properties xmlns="http://schemas.openxmlformats.org/officeDocument/2006/custom-properties" xmlns:vt="http://schemas.openxmlformats.org/officeDocument/2006/docPropsVTypes"/>
</file>