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9CC2E5" w:space="0" w:sz="4" w:val="single"/>
          <w:left w:color="9CC2E5" w:space="0" w:sz="4" w:val="single"/>
          <w:bottom w:color="9CC2E5" w:space="0" w:sz="4" w:val="single"/>
          <w:insideH w:color="9CC2E5" w:space="0" w:sz="4" w:val="single"/>
          <w:right w:color="9CC2E5" w:space="0" w:sz="4" w:val="single"/>
          <w:insideV w:color="9CC2E5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603"/>
        <w:gridCol w:w="4740"/>
        <w:gridCol w:w="2868"/>
      </w:tblGrid>
      <w:tr>
        <w:trPr>
          <w:trHeight w:hRule="atLeast" w:val="529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INTITULE COURS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NOTIONS ETUDIEES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COMMENTAIRE</w:t>
            </w:r>
          </w:p>
        </w:tc>
      </w:tr>
      <w:tr>
        <w:trPr>
          <w:trHeight w:hRule="atLeast" w:val="858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Modèle et simulation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TP sur les kanbans. Notion de "Set", "Sequence" et "routage"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517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Réseau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2"/>
              </w:numPr>
              <w:tabs>
                <w:tab w:leader="none" w:pos="2120" w:val="left"/>
              </w:tabs>
              <w:spacing w:after="200" w:before="0" w:line="276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TD sur le modéle OSI et transfert entre deux applications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1188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Système à évènement discret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Chapitre sur les files d'attentes et TD 2 sur les calculs d'invariants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858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Programmation HDL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4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TP3 Registre à décalage et TP4 machine d'état.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529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Recherche opérationnelle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5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Chapitre : Flux maximue, algorithme de Floyd et Ford.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529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Robotique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6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TD application du MGD et calcul de déplacement robotique.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858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Langage orienté objet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7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Cours structures/classes, exercices sur les unions et les classes.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1188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 xml:space="preserve">Commande de système dynamique </w:t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8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Cours sur les fonctions de transfert d’un système du 1 et du 2</w:t>
            </w: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  <w:vertAlign w:val="superscript"/>
              </w:rPr>
              <w:t>ème</w:t>
            </w: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 xml:space="preserve"> ordre, notion de proportionnel Dérivé/Intégrateur.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1188"/>
          <w:cantSplit w:val="false"/>
        </w:trPr>
        <w:tc>
          <w:tcPr>
            <w:tcW w:type="dxa" w:w="2603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4"/>
                <w:shd w:fill="FFFFFF" w:val="clear"/>
              </w:rPr>
              <w:t>Anglais</w:t>
            </w:r>
          </w:p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color w:val="00000A"/>
                <w:spacing w:val="0"/>
                <w:shd w:fill="FFFFFF" w:val="clear"/>
              </w:rPr>
            </w:pPr>
            <w:r>
              <w:rPr>
                <w:color w:val="00000A"/>
                <w:spacing w:val="0"/>
                <w:shd w:fill="FFFFFF" w:val="clear"/>
              </w:rPr>
            </w:r>
          </w:p>
        </w:tc>
        <w:tc>
          <w:tcPr>
            <w:tcW w:type="dxa" w:w="4740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9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  <w:t>Travail sur les tatouages</w:t>
            </w:r>
          </w:p>
          <w:p>
            <w:pPr>
              <w:pStyle w:val="style0"/>
              <w:numPr>
                <w:ilvl w:val="0"/>
                <w:numId w:val="9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ascii="Century Gothic" w:cs="Century Gothic" w:eastAsia="Century Gothic" w:hAnsi="Century Gothic"/>
                <w:color w:val="00000A"/>
                <w:spacing w:val="0"/>
                <w:sz w:val="20"/>
                <w:shd w:fill="FFFFFF" w:val="clear"/>
              </w:rPr>
              <w:t>Travail sur les numéros de téléphone et échange téléphonique.</w:t>
            </w:r>
          </w:p>
        </w:tc>
        <w:tc>
          <w:tcPr>
            <w:tcW w:type="dxa" w:w="2868"/>
            <w:tcBorders>
              <w:top w:color="9CC2E5" w:space="0" w:sz="4" w:val="single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  <w:tr>
        <w:trPr>
          <w:trHeight w:hRule="atLeast" w:val="1188"/>
          <w:cantSplit w:val="false"/>
        </w:trPr>
        <w:tc>
          <w:tcPr>
            <w:tcW w:type="dxa" w:w="2603"/>
            <w:tcBorders>
              <w:top w:val="nil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GRH</w:t>
            </w:r>
          </w:p>
        </w:tc>
        <w:tc>
          <w:tcPr>
            <w:tcW w:type="dxa" w:w="4740"/>
            <w:tcBorders>
              <w:top w:val="nil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numPr>
                <w:ilvl w:val="0"/>
                <w:numId w:val="9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/>
            </w:pPr>
            <w:r>
              <w:rPr/>
              <w:t>Gestion de conflit</w:t>
            </w:r>
          </w:p>
          <w:p>
            <w:pPr>
              <w:pStyle w:val="style0"/>
              <w:numPr>
                <w:ilvl w:val="0"/>
                <w:numId w:val="9"/>
              </w:numPr>
              <w:tabs>
                <w:tab w:leader="none" w:pos="2120" w:val="left"/>
              </w:tabs>
              <w:spacing w:after="0" w:before="0" w:line="240" w:lineRule="exact"/>
              <w:ind w:hanging="360" w:left="720" w:right="0"/>
              <w:contextualSpacing w:val="false"/>
              <w:jc w:val="left"/>
              <w:rPr/>
            </w:pPr>
            <w:r>
              <w:rPr/>
              <w:t>TD sur les conflit avec médiateur.</w:t>
            </w:r>
          </w:p>
        </w:tc>
        <w:tc>
          <w:tcPr>
            <w:tcW w:type="dxa" w:w="2868"/>
            <w:tcBorders>
              <w:top w:val="nil"/>
              <w:left w:color="9CC2E5" w:space="0" w:sz="4" w:val="single"/>
              <w:bottom w:color="9CC2E5" w:space="0" w:sz="4" w:val="single"/>
              <w:right w:color="9CC2E5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tabs>
                <w:tab w:leader="none" w:pos="2120" w:val="left"/>
              </w:tabs>
              <w:spacing w:after="200" w:before="0" w:line="276" w:lineRule="exact"/>
              <w:ind w:hanging="0" w:left="0" w:right="0"/>
              <w:contextualSpacing w:val="false"/>
              <w:jc w:val="left"/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ascii="Calibri" w:cs="Calibri" w:eastAsia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</w:tr>
    </w:tbl>
    <w:p>
      <w:pPr>
        <w:pStyle w:val="style0"/>
        <w:keepNext/>
        <w:keepLines/>
        <w:spacing w:after="0" w:before="240" w:line="276" w:lineRule="exact"/>
        <w:ind w:hanging="0" w:left="0" w:right="0"/>
        <w:contextualSpacing w:val="false"/>
        <w:jc w:val="left"/>
        <w:rPr>
          <w:rFonts w:ascii="Calibri Light" w:cs="Calibri Light" w:eastAsia="Calibri Light" w:hAnsi="Calibri Light"/>
          <w:color w:val="2E74B5"/>
          <w:spacing w:val="0"/>
          <w:sz w:val="32"/>
          <w:shd w:fill="FFFFFF" w:val="clear"/>
        </w:rPr>
      </w:pPr>
      <w:r>
        <w:rPr>
          <w:rFonts w:ascii="Calibri Light" w:cs="Calibri Light" w:eastAsia="Calibri Light" w:hAnsi="Calibri Light"/>
          <w:color w:val="2E74B5"/>
          <w:spacing w:val="0"/>
          <w:sz w:val="32"/>
          <w:shd w:fill="FFFFFF" w:val="clear"/>
        </w:rPr>
      </w:r>
    </w:p>
    <w:p>
      <w:pPr>
        <w:pStyle w:val="style0"/>
        <w:keepNext/>
        <w:keepLines/>
        <w:spacing w:after="0" w:before="240" w:line="276" w:lineRule="exact"/>
        <w:ind w:hanging="0" w:left="0" w:right="0"/>
        <w:contextualSpacing w:val="false"/>
        <w:jc w:val="left"/>
        <w:rPr>
          <w:rFonts w:ascii="Calibri Light" w:cs="Calibri Light" w:eastAsia="Calibri Light" w:hAnsi="Calibri Light"/>
          <w:color w:val="2E74B5"/>
          <w:spacing w:val="0"/>
          <w:sz w:val="32"/>
          <w:shd w:fill="FFFFFF" w:val="clear"/>
        </w:rPr>
      </w:pPr>
      <w:r>
        <w:rPr>
          <w:rFonts w:ascii="Calibri Light" w:cs="Calibri Light" w:eastAsia="Calibri Light" w:hAnsi="Calibri Light"/>
          <w:color w:val="2E74B5"/>
          <w:spacing w:val="0"/>
          <w:sz w:val="32"/>
          <w:shd w:fill="FFFFFF" w:val="clear"/>
        </w:rPr>
      </w:r>
    </w:p>
    <w:p>
      <w:pPr>
        <w:pStyle w:val="style0"/>
        <w:keepNext/>
        <w:keepLines/>
        <w:spacing w:after="0" w:before="240" w:line="276" w:lineRule="exact"/>
        <w:ind w:hanging="0" w:left="0" w:right="0"/>
        <w:contextualSpacing w:val="false"/>
        <w:jc w:val="left"/>
        <w:rPr>
          <w:rFonts w:ascii="Calibri Light" w:cs="Calibri Light" w:eastAsia="Calibri Light" w:hAnsi="Calibri Light"/>
          <w:color w:val="2E74B5"/>
          <w:spacing w:val="0"/>
          <w:sz w:val="32"/>
          <w:shd w:fill="FFFFFF" w:val="clear"/>
        </w:rPr>
      </w:pPr>
      <w:r>
        <w:rPr>
          <w:rFonts w:ascii="Calibri Light" w:cs="Calibri Light" w:eastAsia="Calibri Light" w:hAnsi="Calibri Light"/>
          <w:color w:val="2E74B5"/>
          <w:spacing w:val="0"/>
          <w:sz w:val="32"/>
          <w:shd w:fill="FFFFFF" w:val="clear"/>
        </w:rPr>
        <w:t>Semaine 39 : du 22 au 29 septembre :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entury Gothic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Légende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