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人工智能赛道｜技术文档模板</w:t>
      </w:r>
    </w:p>
    <w:p>
      <w:pPr>
        <w:spacing w:after="320"/>
      </w:pPr>
      <w:r>
        <w:rPr>
          <w:color w:val="616C7F"/>
          <w:sz w:val="20"/>
        </w:rPr>
        <w:t>适用于国内人工智能赛道；用于说明系统架构、核心算法与安全设计。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队伍名称 / Team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参赛赛道 /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提交日期 /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</w:tbl>
    <w:p/>
    <w:p>
      <w:pPr>
        <w:pStyle w:val="Heading1"/>
      </w:pPr>
      <w:r>
        <w:t>01 项目概览</w:t>
      </w:r>
    </w:p>
    <w:p>
      <w:pPr>
        <w:pStyle w:val="ListBullet"/>
        <w:spacing w:after="100"/>
      </w:pPr>
      <w:r>
        <w:t>项目背景、目标用户与核心使用场景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作品解决的问题与主要创新点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02 系统架构</w:t>
      </w:r>
    </w:p>
    <w:p>
      <w:pPr>
        <w:pStyle w:val="ListBullet"/>
        <w:spacing w:after="100"/>
      </w:pPr>
      <w:r>
        <w:t>系统架构图及各模块职责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模型、工具、数据源与外部服务说明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03 核心算法与 Agent 设计</w:t>
      </w:r>
    </w:p>
    <w:p>
      <w:pPr>
        <w:pStyle w:val="ListBullet"/>
        <w:spacing w:after="100"/>
      </w:pPr>
      <w:r>
        <w:t>意图理解、任务规划、工具调用与状态管理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关键算法、提示词或训练/评测方法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04 安全设计</w:t>
      </w:r>
    </w:p>
    <w:p>
      <w:pPr>
        <w:pStyle w:val="ListBullet"/>
        <w:spacing w:after="100"/>
      </w:pPr>
      <w:r>
        <w:t>权限分级与敏感操作确认机制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Prompt 注入、越权、隐私和错误恢复防护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05 部署与测试</w:t>
      </w:r>
    </w:p>
    <w:p>
      <w:pPr>
        <w:pStyle w:val="ListBullet"/>
        <w:spacing w:after="100"/>
      </w:pPr>
      <w:r>
        <w:t>运行环境、部署步骤、测试用例及已知限制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请按赛事通知要求完整填写；如官网发布新版模板，以新版为准。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