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CHAPTER 3</w:t>
      </w:r>
    </w:p>
    <w:p>
      <w:pPr>
        <w:jc w:val="center"/>
      </w:pPr>
      <w:r>
        <w:rPr>
          <w:b/>
          <w:sz w:val="32"/>
        </w:rPr>
        <w:t>METHODOLOGY AND EXPERIMENTAL DESIGN</w:t>
      </w:r>
    </w:p>
    <w:p>
      <w:pPr>
        <w:pStyle w:val="Heading2"/>
      </w:pPr>
      <w:r>
        <w:t>3.1 Research Methodology</w:t>
      </w:r>
    </w:p>
    <w:p>
      <w:r>
        <w:t>This chapter describes the research methodology employed in this study. The experimental framework consists of three main phases: data collection, model training, and evaluation.</w:t>
      </w:r>
    </w:p>
    <w:p>
      <w:r>
        <w:t>The data collection phase involved gathering documents from multiple sources including government repositories, academic databases, and corporate archives. A total of 10,000 documents were collected, spanning 15 different document types.</w:t>
      </w:r>
    </w:p>
    <w:p>
      <w:pPr>
        <w:pStyle w:val="Heading3"/>
      </w:pPr>
      <w:r>
        <w:t>3.1.1 Data Collection</w:t>
      </w:r>
    </w:p>
    <w:p>
      <w:r>
        <w:t>Documents were collected using a web crawler that respected robots.txt directives. Table 3.1 summarizes the distribution of collected documents.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Government Reports</w:t>
            </w:r>
          </w:p>
        </w:tc>
        <w:tc>
          <w:tcPr>
            <w:tcW w:type="dxa" w:w="2880"/>
          </w:tcPr>
          <w:p>
            <w:r>
              <w:t>3,245</w:t>
            </w:r>
          </w:p>
        </w:tc>
        <w:tc>
          <w:tcPr>
            <w:tcW w:type="dxa" w:w="2880"/>
          </w:tcPr>
          <w:p>
            <w:r>
              <w:t>32.5%</w:t>
            </w:r>
          </w:p>
        </w:tc>
      </w:tr>
      <w:tr>
        <w:tc>
          <w:tcPr>
            <w:tcW w:type="dxa" w:w="2880"/>
          </w:tcPr>
          <w:p>
            <w:r>
              <w:t>Academic Papers</w:t>
            </w:r>
          </w:p>
        </w:tc>
        <w:tc>
          <w:tcPr>
            <w:tcW w:type="dxa" w:w="2880"/>
          </w:tcPr>
          <w:p>
            <w:r>
              <w:t>2,891</w:t>
            </w:r>
          </w:p>
        </w:tc>
        <w:tc>
          <w:tcPr>
            <w:tcW w:type="dxa" w:w="2880"/>
          </w:tcPr>
          <w:p>
            <w:r>
              <w:t>28.9%</w:t>
            </w:r>
          </w:p>
        </w:tc>
      </w:tr>
      <w:tr>
        <w:tc>
          <w:tcPr>
            <w:tcW w:type="dxa" w:w="2880"/>
          </w:tcPr>
          <w:p>
            <w:r>
              <w:t>Corporate Documents</w:t>
            </w:r>
          </w:p>
        </w:tc>
        <w:tc>
          <w:tcPr>
            <w:tcW w:type="dxa" w:w="2880"/>
          </w:tcPr>
          <w:p>
            <w:r>
              <w:t>1,756</w:t>
            </w:r>
          </w:p>
        </w:tc>
        <w:tc>
          <w:tcPr>
            <w:tcW w:type="dxa" w:w="2880"/>
          </w:tcPr>
          <w:p>
            <w:r>
              <w:t>17.6%</w:t>
            </w:r>
          </w:p>
        </w:tc>
      </w:tr>
      <w:tr>
        <w:tc>
          <w:tcPr>
            <w:tcW w:type="dxa" w:w="2880"/>
          </w:tcPr>
          <w:p>
            <w:r>
              <w:t>Legal Documents</w:t>
            </w:r>
          </w:p>
        </w:tc>
        <w:tc>
          <w:tcPr>
            <w:tcW w:type="dxa" w:w="2880"/>
          </w:tcPr>
          <w:p>
            <w:r>
              <w:t>1,234</w:t>
            </w:r>
          </w:p>
        </w:tc>
        <w:tc>
          <w:tcPr>
            <w:tcW w:type="dxa" w:w="2880"/>
          </w:tcPr>
          <w:p>
            <w:r>
              <w:t>12.3%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874</w:t>
            </w:r>
          </w:p>
        </w:tc>
        <w:tc>
          <w:tcPr>
            <w:tcW w:type="dxa" w:w="2880"/>
          </w:tcPr>
          <w:p>
            <w:r>
              <w:t>8.7%</w:t>
            </w:r>
          </w:p>
        </w:tc>
      </w:tr>
    </w:tbl>
    <w:p>
      <w:pPr>
        <w:pStyle w:val="Heading2"/>
      </w:pPr>
      <w:r>
        <w:t>3.2 Model Architecture</w:t>
      </w:r>
    </w:p>
    <w:p>
      <w:r>
        <w:t>The proposed model architecture is based on a transformer encoder-decoder framework.</w:t>
      </w:r>
    </w:p>
    <w:p>
      <w:pPr>
        <w:pStyle w:val="ListBullet"/>
      </w:pPr>
      <w:r>
        <w:t>Multi-head attention mechanism for layout understanding</w:t>
      </w:r>
    </w:p>
    <w:p>
      <w:pPr>
        <w:pStyle w:val="ListBullet"/>
      </w:pPr>
      <w:r>
        <w:t>Positional encoding for spatial relationships</w:t>
      </w:r>
    </w:p>
    <w:p>
      <w:pPr>
        <w:pStyle w:val="ListBullet"/>
      </w:pPr>
      <w:r>
        <w:t>Cross-attention between text and layout features</w:t>
      </w:r>
    </w:p>
    <w:p>
      <w:pPr>
        <w:pStyle w:val="ListBullet"/>
      </w:pPr>
      <w:r>
        <w:t>Format-specific output heads for different target formats</w:t>
      </w:r>
    </w:p>
    <w:p>
      <w:pPr>
        <w:pStyle w:val="Heading2"/>
      </w:pPr>
      <w:r>
        <w:t>3.3 Evaluation Metrics</w:t>
      </w:r>
    </w:p>
    <w:p>
      <w:r>
        <w:t>We evaluate our approach using three complementary metrics:</w:t>
      </w:r>
    </w:p>
    <w:p>
      <w:r>
        <w:t>1. Visual Similarity Score (VSS): Measures pixel-level similarity.</w:t>
      </w:r>
    </w:p>
    <w:p>
      <w:r>
        <w:t>2. Structural Accuracy (SA): Evaluates document structure preservation.</w:t>
      </w:r>
    </w:p>
    <w:p>
      <w:r>
        <w:t>3. Content Fidelity (CF): Checks text content correctness.</w:t>
      </w:r>
    </w:p>
    <w:p>
      <w:pPr>
        <w:pStyle w:val="Heading2"/>
      </w:pPr>
      <w:r>
        <w:t>3.4 Experimental Setup</w:t>
      </w:r>
    </w:p>
    <w:p>
      <w:r>
        <w:t>All experiments were conducted on a workstation equipped with an NVIDIA RTX 4090 GPU, 64 GB of RAM, and an Intel Core i9-13900K processor. The model was trained for 100 epochs using the AdamW optimizer with a learning rate of 1e-4 and batch size of 32.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