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標楷體" w:hAnsi="標楷體"/>
          <w:b/>
          <w:sz w:val="52"/>
        </w:rPr>
        <w:t>中正大學</w:t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2590800</wp:posOffset>
            </wp:positionH>
            <wp:positionV relativeFrom="page">
              <wp:posOffset>5029200</wp:posOffset>
            </wp:positionV>
            <wp:extent cx="2362200" cy="2235200"/>
            <wp:effectExtent l="0" t="0" r="0" b="0"/>
            <wp:wrapNone/>
            <wp:docPr id="1" name="Picture 1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40" w:after="240"/>
      </w:pPr>
    </w:p>
    <w:p>
      <w:pPr>
        <w:spacing w:before="240" w:after="240"/>
      </w:pPr>
    </w:p>
    <w:p>
      <w:pPr>
        <w:jc w:val="center"/>
      </w:pPr>
      <w:r>
        <w:rPr>
          <w:rFonts w:ascii="標楷體" w:hAnsi="標楷體"/>
          <w:sz w:val="36"/>
        </w:rPr>
        <w:t>宇宙工程研究所碩士論文</w:t>
      </w:r>
    </w:p>
    <w:p>
      <w:pPr>
        <w:spacing w:before="240" w:after="240"/>
      </w:pPr>
    </w:p>
    <w:p>
      <w:pPr>
        <w:spacing w:before="240" w:after="240"/>
      </w:pPr>
    </w:p>
    <w:p>
      <w:pPr>
        <w:jc w:val="center"/>
      </w:pPr>
      <w:r>
        <w:rPr>
          <w:rFonts w:ascii="標楷體" w:hAnsi="標楷體"/>
          <w:sz w:val="32"/>
        </w:rPr>
        <w:t>結合動態重加權與特徵正交化之長尾影像分類研究</w:t>
      </w:r>
    </w:p>
    <w:p>
      <w:pPr>
        <w:jc w:val="center"/>
      </w:pPr>
      <w:r>
        <w:rPr>
          <w:rFonts w:ascii="Times New Roman" w:hAnsi="Times New Roman"/>
          <w:sz w:val="28"/>
        </w:rPr>
        <w:t>Long-Tail Image Classification via Dynamic Re-weighting and</w:t>
        <w:br/>
        <w:t>Feature Orthogonalization</w:t>
      </w:r>
    </w:p>
    <w:p>
      <w:pPr>
        <w:spacing w:before="120" w:after="120"/>
      </w:pPr>
    </w:p>
    <w:p>
      <w:pPr>
        <w:spacing w:before="120" w:after="120"/>
      </w:pPr>
    </w:p>
    <w:p>
      <w:pPr>
        <w:spacing w:before="120" w:after="120"/>
      </w:pPr>
    </w:p>
    <w:p>
      <w:pPr>
        <w:spacing w:before="120" w:after="120"/>
      </w:pPr>
    </w:p>
    <w:p>
      <w:pPr>
        <w:spacing w:before="120" w:after="120"/>
      </w:pPr>
    </w:p>
    <w:p>
      <w:pPr>
        <w:spacing w:before="120" w:after="120"/>
      </w:pPr>
    </w:p>
    <w:p>
      <w:pPr>
        <w:jc w:val="center"/>
      </w:pPr>
      <w:r>
        <w:rPr>
          <w:rFonts w:ascii="標楷體" w:hAnsi="標楷體"/>
          <w:sz w:val="32"/>
        </w:rPr>
        <w:t>研究生：王小明</w:t>
      </w:r>
    </w:p>
    <w:p>
      <w:pPr>
        <w:spacing w:before="480"/>
        <w:jc w:val="center"/>
      </w:pPr>
      <w:r>
        <w:rPr>
          <w:rFonts w:ascii="標楷體" w:hAnsi="標楷體"/>
          <w:sz w:val="32"/>
        </w:rPr>
        <w:t>指導教授：李天才教授</w:t>
      </w:r>
    </w:p>
    <w:p>
      <w:pPr>
        <w:spacing w:before="240" w:after="240"/>
      </w:pPr>
    </w:p>
    <w:p>
      <w:pPr>
        <w:spacing w:before="240" w:after="240"/>
      </w:pPr>
    </w:p>
    <w:p>
      <w:pPr>
        <w:jc w:val="center"/>
      </w:pPr>
      <w:r>
        <w:rPr>
          <w:rFonts w:ascii="標楷體" w:hAnsi="標楷體"/>
          <w:sz w:val="28"/>
        </w:rPr>
        <w:t>中華民國 114 年 9 月</w:t>
      </w:r>
    </w:p>
    <w:p>
      <w:r>
        <w:br w:type="page"/>
      </w:r>
    </w:p>
    <w:p>
      <w:pPr>
        <w:jc w:val="center"/>
      </w:pPr>
      <w:r>
        <w:rPr>
          <w:rFonts w:ascii="標楷體" w:hAnsi="標楷體"/>
          <w:b/>
          <w:sz w:val="32"/>
        </w:rPr>
        <w:t>摘要</w:t>
      </w:r>
    </w:p>
    <w:p>
      <w:pPr>
        <w:ind w:firstLine="567"/>
      </w:pPr>
      <w:r>
        <w:rPr>
          <w:rFonts w:ascii="新細明體" w:hAnsi="新細明體"/>
          <w:sz w:val="24"/>
        </w:rPr>
        <w:t>本研究探討以深度學習方法改善多分類影像辨識之效能。近年卷積神經網路在多種視覺任務上展現優異表現，然而在資料量受限與類別不平衡 (class imbalance) 的情況下，傳統訓練流程容易造成某些少數類別辨識率偏低。為解決此問題，本研究提出一個結合動態類別重加權 (dynamic re-weighting) 與特徵正交化 (feature orthogonalization) 之訓練框架，於保持整體精確度的同時提升長尾 (long-tail) 類別之召回率。實驗以公開資料集與自建小型資料集進行驗證，結果顯示相較基準模型，所提方法在 Macro-F1 及少數類別 Top-1 準確率均有顯著提升。最後，本研究並分析特徵空間分佈，證實特徵正交化有助於降低類別間干擾。</w:t>
        <w:br/>
        <w:br/>
        <w:t>本論文之主要貢獻包含：(1) 提出一套可即插即用之動態類別權重調整策略；(2) 引入特徵正交化損失於長尾分類場景；(3) 於多組資料集與不同網路骨幹下驗證方法之穩健性；(4) 釋出實驗程式碼以利後續研究延伸。</w:t>
        <w:br/>
        <w:br/>
        <w:t>關鍵詞：深度學習、長尾學習、特徵表徵、卷積神經網路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Abstract</w:t>
      </w:r>
    </w:p>
    <w:p>
      <w:pPr>
        <w:ind w:firstLine="567"/>
      </w:pPr>
      <w:r>
        <w:rPr>
          <w:rFonts w:ascii="Times New Roman" w:hAnsi="Times New Roman"/>
          <w:sz w:val="24"/>
        </w:rPr>
        <w:t>This thesis investigates a training framework to improve class-imbalanced multi-class image classification under limited data regimes. Although modern convolutional neural networks achieve strong performance, minority classes in long-tail distributions often suffer from poor recall. We propose a plug-and-play framework that combines dynamic class re-weighting with feature orthogonalization to mitigate inter-class interference while preserving global accuracy. Experiments on public and proprietary datasets demonstrate consistent gains in Macro-F1 and minority-class Top-1 accuracy over strong baselines. Feature space visualization further confirms that orthogonalization encourages better inter-class separation.</w:t>
        <w:br/>
        <w:br/>
        <w:t>The contributions are: (1) a dynamic weight schedule responsive to per-epoch error rates; (2) a feature orthogonalization loss for long-tail settings; (3) extensive cross-dataset and cross-backbone experiments; (4) open-source code release.</w:t>
      </w:r>
    </w:p>
    <w:p>
      <w:r>
        <w:br w:type="page"/>
      </w:r>
    </w:p>
    <w:p>
      <w:pPr>
        <w:jc w:val="center"/>
      </w:pPr>
      <w:r>
        <w:rPr>
          <w:rFonts w:ascii="標楷體" w:hAnsi="標楷體"/>
          <w:b/>
          <w:sz w:val="32"/>
        </w:rPr>
        <w:t>誌謝</w:t>
      </w:r>
    </w:p>
    <w:p>
      <w:pPr>
        <w:ind w:firstLine="567"/>
      </w:pPr>
      <w:r>
        <w:rPr>
          <w:rFonts w:ascii="新細明體" w:hAnsi="新細明體"/>
          <w:sz w:val="24"/>
        </w:rPr>
        <w:t>本論文能順利完成，首先衷心感謝指導教授李天才教授，在整個研究期間給予我耐心指導、嚴謹學術訓練與方向上的啟發。老師在問題拆解、實驗設計與結果分析上的建議，使我得以逐步建立獨立研究與批判性思考能力。</w:t>
        <w:br/>
        <w:br/>
        <w:t>亦感謝口試委員在論文審查時所提出的寶貴意見，協助我釐清研究假設並提升論述完整性。感謝實驗室的學長姐與同儕，於資料標註、環境設定與程式除錯上給予協助與討論；特別是一起度過深夜實驗與多次模型重訓的時光，讓研究路途更加踏實。</w:t>
        <w:br/>
        <w:br/>
        <w:t>感謝家人長期無條件的支持與鼓勵，成為我面對研究瓶頸時最堅實的後盾。若無家人的體諒與支持，我難以專注於學術進程。</w:t>
        <w:br/>
        <w:br/>
        <w:t>此外，本研究部分實驗使用系上計算資源與開放資料集，特此誌謝。若本文仍有不足與疏漏，均由本人自行負責。</w:t>
      </w:r>
    </w:p>
    <w:p>
      <w:pPr>
        <w:jc w:val="right"/>
      </w:pPr>
      <w:r>
        <w:rPr>
          <w:rFonts w:ascii="新細明體" w:hAnsi="新細明體"/>
          <w:sz w:val="24"/>
        </w:rPr>
        <w:t>王小明</w:t>
      </w:r>
    </w:p>
    <w:p>
      <w:pPr>
        <w:jc w:val="right"/>
      </w:pPr>
      <w:r>
        <w:rPr>
          <w:rFonts w:ascii="新細明體" w:hAnsi="新細明體"/>
          <w:sz w:val="24"/>
        </w:rPr>
        <w:t>國立中正大學資訊工程研究所</w:t>
      </w:r>
    </w:p>
    <w:p>
      <w:r>
        <w:br w:type="page"/>
      </w:r>
    </w:p>
    <w:p>
      <w:pPr>
        <w:jc w:val="center"/>
      </w:pPr>
      <w:r>
        <w:rPr>
          <w:rFonts w:ascii="標楷體" w:hAnsi="標楷體"/>
          <w:b/>
          <w:sz w:val="32"/>
        </w:rPr>
        <w:t>目  錄</w:t>
      </w:r>
    </w:p>
    <w:p>
      <w:r>
        <w:rPr>
          <w:rFonts w:ascii="新細明體" w:hAnsi="新細明體"/>
          <w:sz w:val="24"/>
        </w:rPr>
        <w:t>摘要 ................................................ i</w:t>
      </w:r>
    </w:p>
    <w:p>
      <w:r>
        <w:rPr>
          <w:rFonts w:ascii="新細明體" w:hAnsi="新細明體"/>
          <w:sz w:val="24"/>
        </w:rPr>
        <w:t>Abstract ............................................ ii</w:t>
      </w:r>
    </w:p>
    <w:p>
      <w:r>
        <w:rPr>
          <w:rFonts w:ascii="新細明體" w:hAnsi="新細明體"/>
          <w:sz w:val="24"/>
        </w:rPr>
        <w:t>誌謝 ............................................... iii</w:t>
      </w:r>
    </w:p>
    <w:p>
      <w:r>
        <w:rPr>
          <w:rFonts w:ascii="新細明體" w:hAnsi="新細明體"/>
          <w:sz w:val="24"/>
        </w:rPr>
        <w:t>目錄 ................................................ iv</w:t>
      </w:r>
    </w:p>
    <w:p>
      <w:r>
        <w:rPr>
          <w:rFonts w:ascii="新細明體" w:hAnsi="新細明體"/>
          <w:sz w:val="24"/>
        </w:rPr>
        <w:t>圖次 ................................................ vi</w:t>
      </w:r>
    </w:p>
    <w:p>
      <w:r>
        <w:rPr>
          <w:rFonts w:ascii="新細明體" w:hAnsi="新細明體"/>
          <w:sz w:val="24"/>
        </w:rPr>
        <w:t>表次 ............................................... vii</w:t>
      </w:r>
    </w:p>
    <w:p>
      <w:r>
        <w:rPr>
          <w:rFonts w:ascii="新細明體" w:hAnsi="新細明體"/>
          <w:sz w:val="24"/>
        </w:rPr>
        <w:t>第一章  緒論 .......................................... 1</w:t>
      </w:r>
    </w:p>
    <w:p>
      <w:r>
        <w:rPr>
          <w:rFonts w:ascii="新細明體" w:hAnsi="新細明體"/>
          <w:sz w:val="24"/>
        </w:rPr>
        <w:t xml:space="preserve">  1.1  研究背景 ....................................... 1</w:t>
      </w:r>
    </w:p>
    <w:p>
      <w:r>
        <w:rPr>
          <w:rFonts w:ascii="新細明體" w:hAnsi="新細明體"/>
          <w:sz w:val="24"/>
        </w:rPr>
        <w:t xml:space="preserve">  1.2  研究動機 ....................................... 1</w:t>
      </w:r>
    </w:p>
    <w:p>
      <w:r>
        <w:rPr>
          <w:rFonts w:ascii="新細明體" w:hAnsi="新細明體"/>
          <w:sz w:val="24"/>
        </w:rPr>
        <w:t xml:space="preserve">  1.3  問題定義 ....................................... 2</w:t>
      </w:r>
    </w:p>
    <w:p>
      <w:r>
        <w:rPr>
          <w:rFonts w:ascii="新細明體" w:hAnsi="新細明體"/>
          <w:sz w:val="24"/>
        </w:rPr>
        <w:t xml:space="preserve">  1.4  研究目的與貢獻 .................................. 3</w:t>
      </w:r>
    </w:p>
    <w:p>
      <w:r>
        <w:rPr>
          <w:rFonts w:ascii="新細明體" w:hAnsi="新細明體"/>
          <w:sz w:val="24"/>
        </w:rPr>
        <w:t xml:space="preserve">  1.5  章節安排 ....................................... 3</w:t>
      </w:r>
    </w:p>
    <w:p>
      <w:r>
        <w:rPr>
          <w:rFonts w:ascii="新細明體" w:hAnsi="新細明體"/>
          <w:sz w:val="24"/>
        </w:rPr>
        <w:t>第二章  文獻探討 ....................................... 4</w:t>
      </w:r>
    </w:p>
    <w:p>
      <w:r>
        <w:rPr>
          <w:rFonts w:ascii="新細明體" w:hAnsi="新細明體"/>
          <w:sz w:val="24"/>
        </w:rPr>
        <w:t xml:space="preserve">  2.1  長尾學習 ....................................... 4</w:t>
      </w:r>
    </w:p>
    <w:p>
      <w:r>
        <w:rPr>
          <w:rFonts w:ascii="新細明體" w:hAnsi="新細明體"/>
          <w:sz w:val="24"/>
        </w:rPr>
        <w:t xml:space="preserve">  2.2  表示學習 ....................................... 4</w:t>
      </w:r>
    </w:p>
    <w:p>
      <w:r>
        <w:rPr>
          <w:rFonts w:ascii="新細明體" w:hAnsi="新細明體"/>
          <w:sz w:val="24"/>
        </w:rPr>
        <w:t xml:space="preserve">  2.3  正交化方法 ..................................... 4</w:t>
      </w:r>
    </w:p>
    <w:p>
      <w:r>
        <w:rPr>
          <w:rFonts w:ascii="新細明體" w:hAnsi="新細明體"/>
          <w:sz w:val="24"/>
        </w:rPr>
        <w:t>第三章  資料及研究方法 .................................. 5</w:t>
      </w:r>
    </w:p>
    <w:p>
      <w:r>
        <w:rPr>
          <w:rFonts w:ascii="新細明體" w:hAnsi="新細明體"/>
          <w:sz w:val="24"/>
        </w:rPr>
        <w:t xml:space="preserve">  3.1  資料與前處理 .................................... 5</w:t>
      </w:r>
    </w:p>
    <w:p>
      <w:r>
        <w:rPr>
          <w:rFonts w:ascii="新細明體" w:hAnsi="新細明體"/>
          <w:sz w:val="24"/>
        </w:rPr>
        <w:t xml:space="preserve">  3.2  模型架構 ....................................... 5</w:t>
      </w:r>
    </w:p>
    <w:p>
      <w:r>
        <w:rPr>
          <w:rFonts w:ascii="新細明體" w:hAnsi="新細明體"/>
          <w:sz w:val="24"/>
        </w:rPr>
        <w:t xml:space="preserve">  3.3  動態類別重加權 .................................. 5</w:t>
      </w:r>
    </w:p>
    <w:p>
      <w:r>
        <w:rPr>
          <w:rFonts w:ascii="新細明體" w:hAnsi="新細明體"/>
          <w:sz w:val="24"/>
        </w:rPr>
        <w:t xml:space="preserve">  3.4  特徵正交化損失 .................................. 5</w:t>
      </w:r>
    </w:p>
    <w:p>
      <w:r>
        <w:rPr>
          <w:rFonts w:ascii="新細明體" w:hAnsi="新細明體"/>
          <w:sz w:val="24"/>
        </w:rPr>
        <w:t xml:space="preserve">  3.5  訓練流程演算法 .................................. 6</w:t>
      </w:r>
    </w:p>
    <w:p>
      <w:r>
        <w:rPr>
          <w:rFonts w:ascii="新細明體" w:hAnsi="新細明體"/>
          <w:sz w:val="24"/>
        </w:rPr>
        <w:t xml:space="preserve">  3.6  時間複雜度 ..................................... 7</w:t>
      </w:r>
    </w:p>
    <w:p>
      <w:r>
        <w:rPr>
          <w:rFonts w:ascii="新細明體" w:hAnsi="新細明體"/>
          <w:sz w:val="24"/>
        </w:rPr>
        <w:t>第四章  實驗結果 ....................................... 8</w:t>
      </w:r>
    </w:p>
    <w:p>
      <w:r>
        <w:rPr>
          <w:rFonts w:ascii="新細明體" w:hAnsi="新細明體"/>
          <w:sz w:val="24"/>
        </w:rPr>
        <w:t xml:space="preserve">  4.1  實驗設定 ....................................... 8</w:t>
      </w:r>
    </w:p>
    <w:p>
      <w:r>
        <w:rPr>
          <w:rFonts w:ascii="新細明體" w:hAnsi="新細明體"/>
          <w:sz w:val="24"/>
        </w:rPr>
        <w:t xml:space="preserve">  4.2  評估指標 ....................................... 8</w:t>
      </w:r>
    </w:p>
    <w:p>
      <w:r>
        <w:rPr>
          <w:rFonts w:ascii="新細明體" w:hAnsi="新細明體"/>
          <w:sz w:val="24"/>
        </w:rPr>
        <w:t>第五章  結論 .......................................... 12</w:t>
      </w:r>
    </w:p>
    <w:p>
      <w:r>
        <w:rPr>
          <w:rFonts w:ascii="新細明體" w:hAnsi="新細明體"/>
          <w:sz w:val="24"/>
        </w:rPr>
        <w:t>參考文獻 ............................................. 13</w:t>
      </w:r>
    </w:p>
    <w:p>
      <w:r>
        <w:rPr>
          <w:rFonts w:ascii="新細明體" w:hAnsi="新細明體"/>
          <w:sz w:val="24"/>
        </w:rPr>
        <w:t>附錄 ................................................ 14</w:t>
      </w:r>
    </w:p>
    <w:p>
      <w:r>
        <w:br w:type="page"/>
      </w:r>
    </w:p>
    <w:p>
      <w:pPr>
        <w:spacing w:before="480" w:after="240"/>
      </w:pPr>
      <w:r>
        <w:rPr>
          <w:rFonts w:ascii="標楷體" w:hAnsi="標楷體"/>
          <w:b/>
          <w:sz w:val="32"/>
        </w:rPr>
        <w:t>第一章  緒論</w:t>
      </w:r>
    </w:p>
    <w:p>
      <w:pPr>
        <w:ind w:firstLine="567"/>
      </w:pPr>
      <w:r>
        <w:rPr>
          <w:rFonts w:ascii="新細明體" w:hAnsi="新細明體"/>
          <w:sz w:val="24"/>
        </w:rPr>
        <w:t>本章說明研究背景、動機、問題定義、研究目的與貢獻，最後介紹章節安排。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1.1  研究背景</w:t>
      </w:r>
    </w:p>
    <w:p>
      <w:pPr>
        <w:ind w:firstLine="567"/>
      </w:pPr>
      <w:r>
        <w:rPr>
          <w:rFonts w:ascii="新細明體" w:hAnsi="新細明體"/>
          <w:sz w:val="24"/>
        </w:rPr>
        <w:t>近年來，深度學習模型於影像分類、語音辨識與自然語言處理皆展現突破性成果。然而在實務資料中，類別常呈現長尾 (long-tail) 分佈：少數常見類別擁有大量標註，罕見類別標註則極為有限，導致標準交叉熵訓練偏向多數類別。為改善此問題，過往方法包括重新取樣、損失重加權與表示學習強化。本研究結合後兩者之優勢，提出動態損失調整搭配特徵正交化之整合框架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1.2  研究動機</w:t>
      </w:r>
    </w:p>
    <w:p>
      <w:pPr>
        <w:ind w:firstLine="567"/>
      </w:pPr>
      <w:r>
        <w:rPr>
          <w:rFonts w:ascii="新細明體" w:hAnsi="新細明體"/>
          <w:sz w:val="24"/>
        </w:rPr>
        <w:t>現有長尾學習方法多以靜態權重或固定排程進行訓練，未考慮訓練過程中難度動態變化。此外，特徵空間中不同類別若高度重疊，將導致分類器決策邊界模糊。我們觀察到：(1) 動態追蹤類別錯誤率可補捉即時難度；(2) 正交化約束可有效推開類別表徵。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1.3  問題定義</w:t>
      </w:r>
    </w:p>
    <w:p>
      <w:pPr>
        <w:ind w:firstLine="567"/>
      </w:pPr>
      <w:r>
        <w:rPr>
          <w:rFonts w:ascii="新細明體" w:hAnsi="新細明體"/>
          <w:sz w:val="24"/>
        </w:rPr>
        <w:t>給定訓練集 D = {(x_i, y_i)} 包含 K 個類別，每類樣本數 n_k 差異可達兩個數量級。目標為學習分類器 f，最大化平衡指標 (如 Macro-F1) 與少數類別 Top-1 準確率，同時避免多數類別顯著退化。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1.4  研究目的與貢獻</w:t>
      </w:r>
    </w:p>
    <w:p>
      <w:pPr>
        <w:ind w:firstLine="567"/>
      </w:pPr>
      <w:r>
        <w:rPr>
          <w:rFonts w:ascii="新細明體" w:hAnsi="新細明體"/>
          <w:sz w:val="24"/>
        </w:rPr>
        <w:t>本研究之主要貢獻如下：</w:t>
      </w:r>
    </w:p>
    <w:p>
      <w:pPr>
        <w:ind w:firstLine="567"/>
      </w:pPr>
      <w:r>
        <w:rPr>
          <w:rFonts w:ascii="新細明體" w:hAnsi="新細明體"/>
          <w:sz w:val="24"/>
        </w:rPr>
        <w:t>(1) 提出動態類別重加權：依每個 epoch 之錯誤率與支持度調整有效權重。</w:t>
      </w:r>
    </w:p>
    <w:p>
      <w:pPr>
        <w:ind w:firstLine="567"/>
      </w:pPr>
      <w:r>
        <w:rPr>
          <w:rFonts w:ascii="新細明體" w:hAnsi="新細明體"/>
          <w:sz w:val="24"/>
        </w:rPr>
        <w:t>(2) 引入特徵正交化損失：降低不同類別特徵向量之內積相關性。</w:t>
      </w:r>
    </w:p>
    <w:p>
      <w:pPr>
        <w:ind w:firstLine="567"/>
      </w:pPr>
      <w:r>
        <w:rPr>
          <w:rFonts w:ascii="新細明體" w:hAnsi="新細明體"/>
          <w:sz w:val="24"/>
        </w:rPr>
        <w:t>(3) 系統性實驗：跨多組資料集與骨幹網路驗證泛用性。</w:t>
      </w:r>
    </w:p>
    <w:p>
      <w:pPr>
        <w:ind w:firstLine="567"/>
      </w:pPr>
      <w:r>
        <w:rPr>
          <w:rFonts w:ascii="新細明體" w:hAnsi="新細明體"/>
          <w:sz w:val="24"/>
        </w:rPr>
        <w:t>(4) 釋出程式碼與設定，提升可重現性。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1.5  章節安排</w:t>
      </w:r>
    </w:p>
    <w:p>
      <w:pPr>
        <w:ind w:firstLine="567"/>
      </w:pPr>
      <w:r>
        <w:rPr>
          <w:rFonts w:ascii="新細明體" w:hAnsi="新細明體"/>
          <w:sz w:val="24"/>
        </w:rPr>
        <w:t>第二章回顧相關工作；第三章詳述方法；第四章呈現實驗設計與結果；第五章總結並討論未來方向。</w:t>
      </w:r>
    </w:p>
    <w:p>
      <w:r>
        <w:br w:type="page"/>
      </w:r>
    </w:p>
    <w:p>
      <w:pPr>
        <w:spacing w:before="480" w:after="240"/>
      </w:pPr>
      <w:r>
        <w:rPr>
          <w:rFonts w:ascii="標楷體" w:hAnsi="標楷體"/>
          <w:b/>
          <w:sz w:val="32"/>
        </w:rPr>
        <w:t>第二章  文獻探討</w:t>
      </w:r>
    </w:p>
    <w:p>
      <w:pPr>
        <w:ind w:firstLine="567"/>
      </w:pPr>
      <w:r>
        <w:rPr>
          <w:rFonts w:ascii="新細明體" w:hAnsi="新細明體"/>
          <w:sz w:val="24"/>
        </w:rPr>
        <w:t>本章整理長尾分類 (long-tail classification) 與特徵表示正規化之相關研究。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2.1  長尾學習</w:t>
      </w:r>
    </w:p>
    <w:p>
      <w:pPr>
        <w:ind w:firstLine="567"/>
      </w:pPr>
      <w:r>
        <w:rPr>
          <w:rFonts w:ascii="新細明體" w:hAnsi="新細明體"/>
          <w:sz w:val="24"/>
        </w:rPr>
        <w:t>長尾資料造成標準訓練偏差。常見策略包含：過取樣少數類別、欠取樣多數類別、損失重加權與調整 logits 後處理。重加權方法中，靜態類別權重通常以反頻率或有效樣本數 (effective number) 計算，然而無法反映訓練進程中難度動態。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2.2  表示學習</w:t>
      </w:r>
    </w:p>
    <w:p>
      <w:pPr>
        <w:ind w:firstLine="567"/>
      </w:pPr>
      <w:r>
        <w:rPr>
          <w:rFonts w:ascii="新細明體" w:hAnsi="新細明體"/>
          <w:sz w:val="24"/>
        </w:rPr>
        <w:t>自監督與對比學習已被證明可學習更均勻的表徵空間，但對長尾場景仍需搭配適當分類頭。近期研究結合兩階段訓練（先學表徵，再微調分類器）。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2.3  正交化方法</w:t>
      </w:r>
    </w:p>
    <w:p>
      <w:pPr>
        <w:ind w:firstLine="567"/>
      </w:pPr>
      <w:r>
        <w:rPr>
          <w:rFonts w:ascii="新細明體" w:hAnsi="新細明體"/>
          <w:sz w:val="24"/>
        </w:rPr>
        <w:t>正交約束於矩陣分解與生成模型中已有廣泛應用。部分工作將其引入分類器權重，但鮮少應用於特徵空間之類別中心。本研究利用類別中心之正交化，差異化不同類別之表示。</w:t>
      </w:r>
    </w:p>
    <w:p>
      <w:r>
        <w:br w:type="page"/>
      </w:r>
    </w:p>
    <w:p>
      <w:pPr>
        <w:spacing w:before="480" w:after="240"/>
      </w:pPr>
      <w:r>
        <w:rPr>
          <w:rFonts w:ascii="標楷體" w:hAnsi="標楷體"/>
          <w:b/>
          <w:sz w:val="32"/>
        </w:rPr>
        <w:t>第三章  資料及研究方法</w:t>
      </w:r>
    </w:p>
    <w:p>
      <w:pPr>
        <w:ind w:firstLine="567"/>
      </w:pPr>
      <w:r>
        <w:rPr>
          <w:rFonts w:ascii="新細明體" w:hAnsi="新細明體"/>
          <w:sz w:val="24"/>
        </w:rPr>
        <w:t>本章介紹資料前處理、模型架構、動態重加權策略與特徵正交化損失。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3.1  資料與前處理</w:t>
      </w:r>
    </w:p>
    <w:p>
      <w:pPr>
        <w:ind w:firstLine="567"/>
      </w:pPr>
      <w:r>
        <w:rPr>
          <w:rFonts w:ascii="新細明體" w:hAnsi="新細明體"/>
          <w:sz w:val="24"/>
        </w:rPr>
        <w:t>原始資料集含 K 個類別，類別樣本數差異可達兩個數量級。前處理包括：影像縮放至 224 × 224、隨機水平翻轉、色彩抖動與正規化。另於驗證與測試階段僅採中心裁切。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3.2  模型架構</w:t>
      </w:r>
    </w:p>
    <w:p>
      <w:pPr>
        <w:ind w:firstLine="567"/>
      </w:pPr>
      <w:r>
        <w:rPr>
          <w:rFonts w:ascii="新細明體" w:hAnsi="新細明體"/>
          <w:sz w:val="24"/>
        </w:rPr>
        <w:t>骨幹網路採 ResNet-50 作為主要實驗基礎，記特徵提取器為 g_θ，分類頭為線性層 W ∈ R^(K×d)，其中 d 為特徵維度。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3.3  動態類別重加權</w:t>
      </w:r>
    </w:p>
    <w:p>
      <w:pPr>
        <w:ind w:firstLine="567"/>
      </w:pPr>
      <w:r>
        <w:rPr>
          <w:rFonts w:ascii="新細明體" w:hAnsi="新細明體"/>
          <w:sz w:val="24"/>
        </w:rPr>
        <w:t>定義類別 k 在 epoch t 之權重為 w_k^(t) = (e_k^(t))^α · (n_k)^(-β) + ε，其中 α, β 控制錯誤率與支持度影響力，ε 為平滑常數。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3.4  特徵正交化損失</w:t>
      </w:r>
    </w:p>
    <w:p>
      <w:pPr>
        <w:ind w:firstLine="567"/>
      </w:pPr>
      <w:r>
        <w:rPr>
          <w:rFonts w:ascii="新細明體" w:hAnsi="新細明體"/>
          <w:sz w:val="24"/>
        </w:rPr>
        <w:t>記類別中心 c_k = (1/|D_k|) Σ g_θ(x_i)，構造正交化項：</w:t>
      </w:r>
    </w:p>
    <w:p>
      <w:pPr>
        <w:ind w:firstLine="567"/>
      </w:pPr>
      <w:r>
        <w:rPr>
          <w:rFonts w:ascii="新細明體" w:hAnsi="新細明體"/>
          <w:sz w:val="24"/>
        </w:rPr>
        <w:t>L_ortho = (1/K(K-1)) Σ_(j≠k) (c_k^T c_j / ||c_k|| ||c_j||)^2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3.5  訓練流程演算法</w:t>
      </w:r>
    </w:p>
    <w:p>
      <w:pPr>
        <w:ind w:firstLine="567"/>
      </w:pPr>
      <w:r>
        <w:rPr>
          <w:rFonts w:ascii="新細明體" w:hAnsi="新細明體"/>
          <w:sz w:val="24"/>
        </w:rPr>
        <w:t>整體訓練流程如下：每個 epoch 計算動態權重，以加權交叉熵損失加上正交化損失進行梯度更新。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3.6  時間複雜度</w:t>
      </w:r>
    </w:p>
    <w:p>
      <w:pPr>
        <w:ind w:firstLine="567"/>
      </w:pPr>
      <w:r>
        <w:rPr>
          <w:rFonts w:ascii="新細明體" w:hAnsi="新細明體"/>
          <w:sz w:val="24"/>
        </w:rPr>
        <w:t>正交化項計算複雜度為 O(K²d)，對於中等類別數可接受；若 K 大，可採隨機抽樣配對近似。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3.7  程式碼片段示例</w:t>
      </w:r>
    </w:p>
    <w:p>
      <w:pPr>
        <w:ind w:firstLine="567"/>
      </w:pPr>
      <w:r>
        <w:rPr>
          <w:rFonts w:ascii="新細明體" w:hAnsi="新細明體"/>
          <w:sz w:val="24"/>
        </w:rPr>
        <w:t>以下示例展示權重計算之 Python 風格偽程式：</w:t>
      </w:r>
    </w:p>
    <w:p>
      <w:pPr>
        <w:ind w:firstLine="567"/>
      </w:pPr>
      <w:r>
        <w:rPr>
          <w:rFonts w:ascii="新細明體" w:hAnsi="新細明體"/>
          <w:sz w:val="24"/>
        </w:rPr>
        <w:t>def compute_weights(errors, counts, alpha, beta, eps=1e-4):</w:t>
      </w:r>
    </w:p>
    <w:p>
      <w:pPr>
        <w:ind w:firstLine="567"/>
      </w:pPr>
      <w:r>
        <w:rPr>
          <w:rFonts w:ascii="新細明體" w:hAnsi="新細明體"/>
          <w:sz w:val="24"/>
        </w:rPr>
        <w:t xml:space="preserve">    weights = [(e**alpha) * (n**(-beta)) + eps for e, n in zip(errors, counts)]</w:t>
      </w:r>
    </w:p>
    <w:p>
      <w:pPr>
        <w:ind w:firstLine="567"/>
      </w:pPr>
      <w:r>
        <w:rPr>
          <w:rFonts w:ascii="新細明體" w:hAnsi="新細明體"/>
          <w:sz w:val="24"/>
        </w:rPr>
        <w:t xml:space="preserve">    return normalize(weights)</w:t>
      </w:r>
    </w:p>
    <w:p>
      <w:r>
        <w:br w:type="page"/>
      </w:r>
    </w:p>
    <w:p>
      <w:pPr>
        <w:spacing w:before="480" w:after="240"/>
      </w:pPr>
      <w:r>
        <w:rPr>
          <w:rFonts w:ascii="標楷體" w:hAnsi="標楷體"/>
          <w:b/>
          <w:sz w:val="32"/>
        </w:rPr>
        <w:t>第四章  實驗結果</w:t>
      </w:r>
    </w:p>
    <w:p>
      <w:pPr>
        <w:ind w:firstLine="567"/>
      </w:pPr>
      <w:r>
        <w:rPr>
          <w:rFonts w:ascii="新細明體" w:hAnsi="新細明體"/>
          <w:sz w:val="24"/>
        </w:rPr>
        <w:t>本章說明實驗設定、評估指標、比較方法與結果分析。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4.1  實驗設定</w:t>
      </w:r>
    </w:p>
    <w:p>
      <w:pPr>
        <w:ind w:firstLine="567"/>
      </w:pPr>
      <w:r>
        <w:rPr>
          <w:rFonts w:ascii="新細明體" w:hAnsi="新細明體"/>
          <w:sz w:val="24"/>
        </w:rPr>
        <w:t>資料集包含一組公開長尾影像集與一組自建小型資料。長尾程度以最大/最小類別樣本數比值 (imbalance ratio) 表示，約為 100。模型以 AdamW 優化器訓練 200 epochs，初始學習率 1 × 10^(-3) 並採餘弦退火。批次大小 64。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4.2  評估指標</w:t>
      </w:r>
    </w:p>
    <w:p>
      <w:pPr>
        <w:ind w:firstLine="567"/>
      </w:pPr>
      <w:r>
        <w:rPr>
          <w:rFonts w:ascii="新細明體" w:hAnsi="新細明體"/>
          <w:sz w:val="24"/>
        </w:rPr>
        <w:t>使用 Top-1 Accuracy、Macro-F1 與 Minority Recall 三項指標。Minority 定義為樣本數低於中位數之類別。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方法</w:t>
            </w:r>
          </w:p>
        </w:tc>
        <w:tc>
          <w:tcPr>
            <w:tcW w:type="dxa" w:w="2161"/>
          </w:tcPr>
          <w:p>
            <w:r>
              <w:t>Top-1(%)</w:t>
            </w:r>
          </w:p>
        </w:tc>
        <w:tc>
          <w:tcPr>
            <w:tcW w:type="dxa" w:w="2161"/>
          </w:tcPr>
          <w:p>
            <w:r>
              <w:t>Macro-F1(%)</w:t>
            </w:r>
          </w:p>
        </w:tc>
        <w:tc>
          <w:tcPr>
            <w:tcW w:type="dxa" w:w="2161"/>
          </w:tcPr>
          <w:p>
            <w:r>
              <w:t>Minority Recall(%)</w:t>
            </w:r>
          </w:p>
        </w:tc>
      </w:tr>
      <w:tr>
        <w:tc>
          <w:tcPr>
            <w:tcW w:type="dxa" w:w="2161"/>
          </w:tcPr>
          <w:p>
            <w:r>
              <w:t>CE</w:t>
            </w:r>
          </w:p>
        </w:tc>
        <w:tc>
          <w:tcPr>
            <w:tcW w:type="dxa" w:w="2161"/>
          </w:tcPr>
          <w:p>
            <w:r>
              <w:t>78.2</w:t>
            </w:r>
          </w:p>
        </w:tc>
        <w:tc>
          <w:tcPr>
            <w:tcW w:type="dxa" w:w="2161"/>
          </w:tcPr>
          <w:p>
            <w:r>
              <w:t>65.4</w:t>
            </w:r>
          </w:p>
        </w:tc>
        <w:tc>
          <w:tcPr>
            <w:tcW w:type="dxa" w:w="2161"/>
          </w:tcPr>
          <w:p>
            <w:r>
              <w:t>54.1</w:t>
            </w:r>
          </w:p>
        </w:tc>
      </w:tr>
      <w:tr>
        <w:tc>
          <w:tcPr>
            <w:tcW w:type="dxa" w:w="2161"/>
          </w:tcPr>
          <w:p>
            <w:r>
              <w:t>InvFreq</w:t>
            </w:r>
          </w:p>
        </w:tc>
        <w:tc>
          <w:tcPr>
            <w:tcW w:type="dxa" w:w="2161"/>
          </w:tcPr>
          <w:p>
            <w:r>
              <w:t>77.5</w:t>
            </w:r>
          </w:p>
        </w:tc>
        <w:tc>
          <w:tcPr>
            <w:tcW w:type="dxa" w:w="2161"/>
          </w:tcPr>
          <w:p>
            <w:r>
              <w:t>67.1</w:t>
            </w:r>
          </w:p>
        </w:tc>
        <w:tc>
          <w:tcPr>
            <w:tcW w:type="dxa" w:w="2161"/>
          </w:tcPr>
          <w:p>
            <w:r>
              <w:t>58.3</w:t>
            </w:r>
          </w:p>
        </w:tc>
      </w:tr>
      <w:tr>
        <w:tc>
          <w:tcPr>
            <w:tcW w:type="dxa" w:w="2161"/>
          </w:tcPr>
          <w:p>
            <w:r>
              <w:t>EffNum</w:t>
            </w:r>
          </w:p>
        </w:tc>
        <w:tc>
          <w:tcPr>
            <w:tcW w:type="dxa" w:w="2161"/>
          </w:tcPr>
          <w:p>
            <w:r>
              <w:t>78.0</w:t>
            </w:r>
          </w:p>
        </w:tc>
        <w:tc>
          <w:tcPr>
            <w:tcW w:type="dxa" w:w="2161"/>
          </w:tcPr>
          <w:p>
            <w:r>
              <w:t>68.0</w:t>
            </w:r>
          </w:p>
        </w:tc>
        <w:tc>
          <w:tcPr>
            <w:tcW w:type="dxa" w:w="2161"/>
          </w:tcPr>
          <w:p>
            <w:r>
              <w:t>59.5</w:t>
            </w:r>
          </w:p>
        </w:tc>
      </w:tr>
      <w:tr>
        <w:tc>
          <w:tcPr>
            <w:tcW w:type="dxa" w:w="2161"/>
          </w:tcPr>
          <w:p>
            <w:r>
              <w:t>Ours</w:t>
            </w:r>
          </w:p>
        </w:tc>
        <w:tc>
          <w:tcPr>
            <w:tcW w:type="dxa" w:w="2161"/>
          </w:tcPr>
          <w:p>
            <w:r>
              <w:t>79.1</w:t>
            </w:r>
          </w:p>
        </w:tc>
        <w:tc>
          <w:tcPr>
            <w:tcW w:type="dxa" w:w="2161"/>
          </w:tcPr>
          <w:p>
            <w:r>
              <w:t>71.4</w:t>
            </w:r>
          </w:p>
        </w:tc>
        <w:tc>
          <w:tcPr>
            <w:tcW w:type="dxa" w:w="2161"/>
          </w:tcPr>
          <w:p>
            <w:r>
              <w:t>63.7</w:t>
            </w:r>
          </w:p>
        </w:tc>
      </w:tr>
    </w:tbl>
    <w:p>
      <w:pPr>
        <w:spacing w:before="480" w:after="240"/>
      </w:pPr>
      <w:r>
        <w:rPr>
          <w:rFonts w:ascii="標楷體" w:hAnsi="標楷體"/>
          <w:b/>
          <w:sz w:val="32"/>
        </w:rPr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4.5  消融研究</w:t>
      </w:r>
    </w:p>
    <w:p>
      <w:pPr>
        <w:ind w:firstLine="567"/>
      </w:pPr>
      <w:r>
        <w:rPr>
          <w:rFonts w:ascii="新細明體" w:hAnsi="新細明體"/>
          <w:sz w:val="24"/>
        </w:rPr>
        <w:t>圖 4-1 顯示不同組件對 Macro-F1 之影響：僅動態權重 (DW) 或僅正交化 (Ortho) 各帶來約 3~4% 提升，兩者結合 (DW + Ortho) 可再疊加約 1.5% 之增益。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4.7  討論</w:t>
      </w:r>
    </w:p>
    <w:p>
      <w:pPr>
        <w:ind w:firstLine="567"/>
      </w:pPr>
      <w:r>
        <w:rPr>
          <w:rFonts w:ascii="新細明體" w:hAnsi="新細明體"/>
          <w:sz w:val="24"/>
        </w:rPr>
        <w:t>本方法於少數類別提升較為顯著，但在極端噪聲標籤下需調降 λ 以避免過度正交化引入不穩定梯度。</w:t>
      </w:r>
    </w:p>
    <w:p>
      <w:r>
        <w:br w:type="page"/>
      </w:r>
    </w:p>
    <w:p>
      <w:pPr>
        <w:spacing w:before="480" w:after="240"/>
      </w:pPr>
      <w:r>
        <w:rPr>
          <w:rFonts w:ascii="標楷體" w:hAnsi="標楷體"/>
          <w:b/>
          <w:sz w:val="32"/>
        </w:rPr>
        <w:t>第五章  結論</w:t>
      </w:r>
    </w:p>
    <w:p>
      <w:pPr>
        <w:ind w:firstLine="567"/>
      </w:pPr>
      <w:r>
        <w:rPr>
          <w:rFonts w:ascii="新細明體" w:hAnsi="新細明體"/>
          <w:sz w:val="24"/>
        </w:rPr>
        <w:t>本研究提出結合動態類別重加權與特徵正交化之長尾影像分類框架。實驗顯示在維持整體 Top-1 準確率的同時，可顯著提升 Macro-F1 與少數類別召回率。分析證實正交化有助於降低類別間干擾，動態權重則自動聚焦較難類別。</w:t>
      </w:r>
    </w:p>
    <w:p>
      <w:pPr>
        <w:ind w:firstLine="567"/>
      </w:pPr>
      <w:r>
        <w:rPr>
          <w:rFonts w:ascii="新細明體" w:hAnsi="新細明體"/>
          <w:sz w:val="24"/>
        </w:rPr>
        <w:t>未來方向包含：(1) 延伸至多標籤與開放集合辨識；(2) 與自監督特徵學習結合，降低標註需求；(3) 加入不確定性估計以處理噪聲標籤；(4) 探索低秩表示以降低正交化運算成本。</w:t>
      </w:r>
    </w:p>
    <w:p>
      <w:r>
        <w:br w:type="page"/>
      </w:r>
    </w:p>
    <w:p>
      <w:pPr>
        <w:spacing w:before="480" w:after="240"/>
      </w:pPr>
      <w:r>
        <w:rPr>
          <w:rFonts w:ascii="標楷體" w:hAnsi="標楷體"/>
          <w:b/>
          <w:sz w:val="32"/>
        </w:rPr>
        <w:t>參考文獻</w:t>
      </w:r>
    </w:p>
    <w:p>
      <w:pPr>
        <w:ind w:firstLine="567"/>
      </w:pPr>
      <w:r>
        <w:rPr>
          <w:rFonts w:ascii="新細明體" w:hAnsi="新細明體"/>
          <w:sz w:val="24"/>
        </w:rPr>
        <w:t>[1] C. Li, K. Chang, H. Chang, and Y. Chen, "Perfect sequences of odd prime length," IEEE Signal Processing Letters, vol. 25, no. 7, pp. 966–969, 2018.</w:t>
      </w:r>
    </w:p>
    <w:p>
      <w:pPr>
        <w:ind w:firstLine="567"/>
      </w:pPr>
      <w:r>
        <w:rPr>
          <w:rFonts w:ascii="新細明體" w:hAnsi="新細明體"/>
          <w:sz w:val="24"/>
        </w:rPr>
        <w:t>[2] Y. Chen and J. Chen, "On the design of near-optimal sparse code multidimensional spreading for NOMA systems," IEEE Communications Letters, vol. 24, no. 8, 2020.</w:t>
      </w:r>
    </w:p>
    <w:p>
      <w:pPr>
        <w:ind w:firstLine="567"/>
      </w:pPr>
      <w:r>
        <w:rPr>
          <w:rFonts w:ascii="新細明體" w:hAnsi="新細明體"/>
          <w:sz w:val="24"/>
        </w:rPr>
        <w:t>[3] L. Lamport, LaTeX: A Document Preparation System, 2nd ed. Addison-Wesley, 1994.</w:t>
      </w:r>
    </w:p>
    <w:p>
      <w:pPr>
        <w:ind w:firstLine="567"/>
      </w:pPr>
      <w:r>
        <w:rPr>
          <w:rFonts w:ascii="新細明體" w:hAnsi="新細明體"/>
          <w:sz w:val="24"/>
        </w:rPr>
        <w:t>[4] D. Knuth, The TeXbook. Addison-Wesley, 1986.</w:t>
      </w:r>
    </w:p>
    <w:p>
      <w:r>
        <w:br w:type="page"/>
      </w:r>
    </w:p>
    <w:p>
      <w:pPr>
        <w:spacing w:before="480" w:after="240"/>
      </w:pPr>
      <w:r>
        <w:rPr>
          <w:rFonts w:ascii="標楷體" w:hAnsi="標楷體"/>
          <w:b/>
          <w:sz w:val="32"/>
        </w:rPr>
        <w:t>附錄</w:t>
      </w:r>
    </w:p>
    <w:p>
      <w:pPr>
        <w:spacing w:before="360" w:after="120"/>
      </w:pPr>
      <w:r>
        <w:rPr>
          <w:rFonts w:ascii="標楷體" w:hAnsi="標楷體"/>
          <w:b/>
          <w:sz w:val="28"/>
        </w:rPr>
        <w:t>附錄 A：正交化梯度推導</w:t>
      </w:r>
    </w:p>
    <w:p>
      <w:pPr>
        <w:ind w:firstLine="567"/>
      </w:pPr>
      <w:r>
        <w:rPr>
          <w:rFonts w:ascii="新細明體" w:hAnsi="新細明體"/>
          <w:sz w:val="24"/>
        </w:rPr>
        <w:t>令兩類別中心單位化後之內積為 r_kj = c_k^T c_j / (||c_k|| ||c_j||)。</w:t>
      </w:r>
    </w:p>
    <w:p>
      <w:pPr>
        <w:ind w:firstLine="567"/>
      </w:pPr>
      <w:r>
        <w:rPr>
          <w:rFonts w:ascii="新細明體" w:hAnsi="新細明體"/>
          <w:sz w:val="24"/>
        </w:rPr>
        <w:t>則 L_ortho = (1/K(K-1)) Σ Σ r_kj^2。</w:t>
      </w:r>
    </w:p>
    <w:p>
      <w:pPr>
        <w:ind w:firstLine="567"/>
      </w:pPr>
      <w:r>
        <w:rPr>
          <w:rFonts w:ascii="新細明體" w:hAnsi="新細明體"/>
          <w:sz w:val="24"/>
        </w:rPr>
        <w:t>對特徵向量 c_k 之梯度 (忽略常數) 為：</w:t>
      </w:r>
    </w:p>
    <w:p>
      <w:pPr>
        <w:ind w:firstLine="567"/>
      </w:pPr>
      <w:r>
        <w:rPr>
          <w:rFonts w:ascii="新細明體" w:hAnsi="新細明體"/>
          <w:sz w:val="24"/>
        </w:rPr>
        <w:t>∇_{c_k} L_ortho ∝ Σ_{j≠k} r_kj · (c_j / ||c_k|| - r_kj · c_k / ||c_k||)</w:t>
      </w:r>
    </w:p>
    <w:p>
      <w:pPr>
        <w:ind w:firstLine="567"/>
      </w:pPr>
      <w:r>
        <w:rPr>
          <w:rFonts w:ascii="新細明體" w:hAnsi="新細明體"/>
          <w:sz w:val="24"/>
        </w:rPr>
        <w:t>書籍或工具文件：排版細節說明請參考 [3]。</w:t>
      </w:r>
    </w:p>
    <w:p>
      <w:pPr>
        <w:ind w:firstLine="567"/>
      </w:pPr>
      <w:r>
        <w:rPr>
          <w:rFonts w:ascii="新細明體" w:hAnsi="新細明體"/>
          <w:sz w:val="24"/>
        </w:rPr>
        <w:t>線上資源：[4] 提供更多 LaTeX 排版背景。</w:t>
      </w:r>
    </w:p>
    <w:p>
      <w:pPr>
        <w:ind w:firstLine="567"/>
      </w:pPr>
      <w:r>
        <w:rPr>
          <w:rFonts w:ascii="新細明體" w:hAnsi="新細明體"/>
          <w:sz w:val="24"/>
        </w:rPr>
        <w:t>在正文中建議：首次提及理論時使用完整敘述加引用；再次出現僅保留必要引用。若需作者式引用（如 "Chen 等人"），但現行數字樣式下仍會以數字標示。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exact"/>
    </w:pPr>
    <w:rPr>
      <w:rFonts w:ascii="新細明體" w:hAnsi="新細明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