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A Novel Approach to Document Conversion</w:t>
        <w:br/>
        <w:t>Using Layout-Aware Parsing</w:t>
      </w:r>
    </w:p>
    <w:p>
      <w:pPr>
        <w:jc w:val="center"/>
      </w:pPr>
      <w:r>
        <w:rPr>
          <w:i/>
          <w:sz w:val="20"/>
        </w:rPr>
        <w:t>First Author, Second Author, Third Author</w:t>
        <w:br/>
        <w:t>Department of Computer Science, University of Technology</w:t>
        <w:br/>
        <w:t>email@university.edu</w:t>
      </w:r>
    </w:p>
    <w:p>
      <w:pPr>
        <w:pStyle w:val="Heading1"/>
      </w:pPr>
      <w:r>
        <w:t>Abstract</w:t>
      </w:r>
    </w:p>
    <w:p>
      <w:pPr>
        <w:ind w:firstLine="360"/>
      </w:pPr>
      <w:r>
        <w:t>This paper presents a novel approach to converting document formats while preserving layout fidelity. We propose a multi-pass parsing algorithm that analyzes document structure, extracts semantic content, and reconstructs the layout in the target format. Our method achieves 95% layout accuracy on a benchmark of 500 documents across various formats including DOCX, XLSX, and PDF.</w:t>
      </w:r>
    </w:p>
    <w:p>
      <w:pPr>
        <w:pStyle w:val="Heading1"/>
      </w:pPr>
      <w:r>
        <w:t>1. Introduction</w:t>
      </w:r>
    </w:p>
    <w:p>
      <w:r>
        <w:t>Document format conversion is a fundamental problem in information technology. Organizations frequently need to convert documents between formats for archival, sharing, and processing purposes. The challenge lies in preserving the visual layout, formatting, and semantic structure of the original document [1].</w:t>
      </w:r>
    </w:p>
    <w:p>
      <w:r>
        <w:t>Traditional approaches rely on simple text extraction followed by re-rendering, which often loses important formatting information such as margins, indentation, font styles, and table layouts [2].</w:t>
      </w:r>
    </w:p>
    <w:p>
      <w:pPr>
        <w:pStyle w:val="Heading1"/>
      </w:pPr>
      <w:r>
        <w:t>2. Related Work</w:t>
      </w:r>
    </w:p>
    <w:p>
      <w:r>
        <w:t>Several approaches have been proposed for document conversion. Smith et al. [4] introduced a rule-based system that handles specific format pairs.</w:t>
      </w:r>
    </w:p>
    <w:p>
      <w:pPr>
        <w:pStyle w:val="Heading1"/>
      </w:pPr>
      <w:r>
        <w:t>3. Experimental Results</w:t>
      </w:r>
    </w:p>
    <w:p>
      <w:r>
        <w:t>Table 1 shows the comparison of our method against baselines.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Accuracy (%)</w:t>
            </w:r>
          </w:p>
        </w:tc>
        <w:tc>
          <w:tcPr>
            <w:tcW w:type="dxa" w:w="2160"/>
          </w:tcPr>
          <w:p>
            <w:r>
              <w:rPr>
                <w:b/>
              </w:rPr>
              <w:t>Speed (docs/s)</w:t>
            </w:r>
          </w:p>
        </w:tc>
        <w:tc>
          <w:tcPr>
            <w:tcW w:type="dxa" w:w="2160"/>
          </w:tcPr>
          <w:p>
            <w:r>
              <w:rPr>
                <w:b/>
              </w:rPr>
              <w:t>Memory (MB)</w:t>
            </w:r>
          </w:p>
        </w:tc>
      </w:tr>
      <w:tr>
        <w:tc>
          <w:tcPr>
            <w:tcW w:type="dxa" w:w="2160"/>
          </w:tcPr>
          <w:p>
            <w:r>
              <w:t>Rule-based</w:t>
            </w:r>
          </w:p>
        </w:tc>
        <w:tc>
          <w:tcPr>
            <w:tcW w:type="dxa" w:w="2160"/>
          </w:tcPr>
          <w:p>
            <w:r>
              <w:t>78.2</w:t>
            </w:r>
          </w:p>
        </w:tc>
        <w:tc>
          <w:tcPr>
            <w:tcW w:type="dxa" w:w="2160"/>
          </w:tcPr>
          <w:p>
            <w:r>
              <w:t>120</w:t>
            </w:r>
          </w:p>
        </w:tc>
        <w:tc>
          <w:tcPr>
            <w:tcW w:type="dxa" w:w="2160"/>
          </w:tcPr>
          <w:p>
            <w:r>
              <w:t>256</w:t>
            </w:r>
          </w:p>
        </w:tc>
      </w:tr>
      <w:tr>
        <w:tc>
          <w:tcPr>
            <w:tcW w:type="dxa" w:w="2160"/>
          </w:tcPr>
          <w:p>
            <w:r>
              <w:t>ML-based</w:t>
            </w:r>
          </w:p>
        </w:tc>
        <w:tc>
          <w:tcPr>
            <w:tcW w:type="dxa" w:w="2160"/>
          </w:tcPr>
          <w:p>
            <w:r>
              <w:t>85.5</w:t>
            </w:r>
          </w:p>
        </w:tc>
        <w:tc>
          <w:tcPr>
            <w:tcW w:type="dxa" w:w="2160"/>
          </w:tcPr>
          <w:p>
            <w:r>
              <w:t>45</w:t>
            </w:r>
          </w:p>
        </w:tc>
        <w:tc>
          <w:tcPr>
            <w:tcW w:type="dxa" w:w="2160"/>
          </w:tcPr>
          <w:p>
            <w:r>
              <w:t>1024</w:t>
            </w:r>
          </w:p>
        </w:tc>
      </w:tr>
      <w:tr>
        <w:tc>
          <w:tcPr>
            <w:tcW w:type="dxa" w:w="2160"/>
          </w:tcPr>
          <w:p>
            <w:r>
              <w:t>Ours</w:t>
            </w:r>
          </w:p>
        </w:tc>
        <w:tc>
          <w:tcPr>
            <w:tcW w:type="dxa" w:w="2160"/>
          </w:tcPr>
          <w:p>
            <w:r>
              <w:t>95.1</w:t>
            </w:r>
          </w:p>
        </w:tc>
        <w:tc>
          <w:tcPr>
            <w:tcW w:type="dxa" w:w="2160"/>
          </w:tcPr>
          <w:p>
            <w:r>
              <w:t>89</w:t>
            </w:r>
          </w:p>
        </w:tc>
        <w:tc>
          <w:tcPr>
            <w:tcW w:type="dxa" w:w="2160"/>
          </w:tcPr>
          <w:p>
            <w:r>
              <w:t>512</w:t>
            </w:r>
          </w:p>
        </w:tc>
      </w:tr>
    </w:tbl>
    <w:p>
      <w:pPr>
        <w:pStyle w:val="Heading1"/>
      </w:pPr>
      <w:r>
        <w:t>References</w:t>
      </w:r>
    </w:p>
    <w:p>
      <w:pPr>
        <w:spacing w:after="40"/>
      </w:pPr>
      <w:r>
        <w:t>[1] A. Brown, Document Processing: Principles and Practice, IEEE Trans., vol. 45, 2023.</w:t>
      </w:r>
    </w:p>
    <w:p>
      <w:pPr>
        <w:spacing w:after="40"/>
      </w:pPr>
      <w:r>
        <w:t>[2] C. Davis et al., Layout-aware text extraction from PDF documents, Proc. ICDAR, 2022.</w:t>
      </w:r>
    </w:p>
    <w:p>
      <w:pPr>
        <w:spacing w:after="40"/>
      </w:pPr>
      <w:r>
        <w:t>[3] E. Fisher and G. Harris, Cross-format document conversion, J. Info. Sci., 2021.</w:t>
      </w:r>
    </w:p>
    <w:p>
      <w:pPr>
        <w:spacing w:after="40"/>
      </w:pPr>
      <w:r>
        <w:t>[4] I. Smith et al., Rule-based multi-format document converter, Proc. DocEng, 2020.</w:t>
      </w:r>
    </w:p>
    <w:p>
      <w:pPr>
        <w:spacing w:after="40"/>
      </w:pPr>
      <w:r>
        <w:t>[5] K. Johnson and L. Lee, Learning document conversion, Proc. ACL,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