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PingFang SC" w:hAnsi="PingFang SC" w:eastAsia="PingFang SC"/>
          <w:b/>
          <w:color w:val="173A7A"/>
          <w:sz w:val="34"/>
        </w:rPr>
        <w:t>第十七届“工行杯”全国大学生金融科技创新大赛</w:t>
      </w:r>
    </w:p>
    <w:p>
      <w:pPr>
        <w:spacing w:before="680"/>
        <w:jc w:val="center"/>
      </w:pPr>
      <w:r>
        <w:rPr>
          <w:rFonts w:ascii="PingFang SC" w:hAnsi="PingFang SC" w:eastAsia="PingFang SC"/>
          <w:b/>
          <w:color w:val="111827"/>
          <w:sz w:val="72"/>
        </w:rPr>
        <w:t>弈金</w:t>
      </w:r>
    </w:p>
    <w:p>
      <w:pPr>
        <w:jc w:val="center"/>
      </w:pPr>
      <w:r>
        <w:rPr>
          <w:rFonts w:ascii="PingFang SC" w:hAnsi="PingFang SC" w:eastAsia="PingFang SC"/>
          <w:b w:val="0"/>
          <w:color w:val="C9252D"/>
          <w:sz w:val="36"/>
        </w:rPr>
        <w:t>面向金融机构的可追溯研究智能体工作台</w:t>
      </w:r>
    </w:p>
    <w:p>
      <w:pPr>
        <w:spacing w:before="640"/>
        <w:jc w:val="center"/>
      </w:pPr>
      <w:r>
        <w:rPr>
          <w:rFonts w:ascii="PingFang SC" w:hAnsi="PingFang SC" w:eastAsia="PingFang SC"/>
          <w:b w:val="0"/>
          <w:color w:val="111827"/>
          <w:sz w:val="32"/>
        </w:rPr>
        <w:t>项目策划书</w:t>
      </w:r>
    </w:p>
    <w:p>
      <w:pPr>
        <w:spacing w:before="2200"/>
        <w:jc w:val="center"/>
      </w:pPr>
      <w:r>
        <w:rPr>
          <w:rFonts w:ascii="PingFang SC" w:hAnsi="PingFang SC" w:eastAsia="PingFang SC"/>
          <w:b w:val="0"/>
          <w:color w:val="555555"/>
          <w:sz w:val="22"/>
        </w:rPr>
        <w:t>参赛方向建议：数字金融 / 金融安全 / 开放创新</w:t>
      </w:r>
    </w:p>
    <w:p>
      <w:pPr>
        <w:jc w:val="center"/>
      </w:pPr>
      <w:r>
        <w:rPr>
          <w:rFonts w:ascii="PingFang SC" w:hAnsi="PingFang SC" w:eastAsia="PingFang SC"/>
          <w:b w:val="0"/>
          <w:color w:val="777777"/>
          <w:sz w:val="20"/>
        </w:rPr>
        <w:t>版本：2026 年 9 月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项目摘要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弈金是一款面向证券公司、基金公司及银行研究场景的金融智能体工作台。用户可以上传年报、公告等 PDF 材料，提出一个围绕 A 股上市公司的研究问题，由 Commander 将问题拆解为结构化任务，再调度行业、基本面、消息面、估值、风险和报告合成等 Specialist 并行或按依赖执行。系统保存搜索来源、页码定位、任务状态、Agent 输出、质量状态和待复核项，生成带来源和风险提示的研究报告草稿。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项目的核心不是让模型替代研究员，而是把资料搜集、文档阅读、信息整理、初步分析和报告编排中高重复的部分组织起来，让研究人员把时间用于判断、复核和决策。产品当前定位为研究辅助工具，不自动交易，不生成面向个人用户的个性化买卖指令，不把模型输出视为未经复核的正式金融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66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项目回答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参赛价值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以 AI、多智能体协作和证据链技术改造金融研究工作流，回应数智银行、金融安全和开放创新方向。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目标用户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证券公司和基金公司的投研人员；银行研究、科技金融尽调、企业客户分析和风险复核岗位。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产品形态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Web 工作台，支持 SaaS 与 Docker 私有化部署；前端展示任务进度、引用和报告，后台 Worker 执行长任务。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当前边界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正式支持 PDF；公开网页检索为主要外部数据来源；结构化财务数据接口、OCR 和自动交易不纳入当前首版。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工行适配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可作为工银智涌、多模型、知识工程和智能体协同能力的业务编排与研究应用层候选方案，具体接入需经过授权和安全评估。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一 项目概况与参赛定位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1.1 项目名称与一句话定位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项目名称：弈金。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一句话定位：让金融研究人员从“找资料、做整理、写初稿”中解放出来，用一支可编排、可追溯、可人工复核的 AI 分析团队完成研究准备工作。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1.2 与本届赛事的匹配关系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第十七届“工行杯”以“数智银行、创见未来”为主题，设置十大参赛方向。弈金不把自己包装为泛化的聊天机器人，而是聚焦金融机构真实工作流，建议以数字金融为主方向，以金融安全、开放创新和智慧银行为交叉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赛事关注点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弈金的对应回答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当前证据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真实金融场景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围绕 A 股公司研究、科技金融尽调、企业客户分析与风险复核。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已有产品定位、页面和任务编排代码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AI 技术应用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Commander + Specialist、SSE 实时进度、可替换模型 Provider。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现有后端编排、Agent 与 LLM 服务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金融安全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来源回链、人工复核、风险提示、权限隔离和不自动交易。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产品规范与现有引用展示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落地可行性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SaaS + Docker 私有化；先做研究闭环，再扩展行业和风控场景。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docker-compose 与项目路线图</w:t>
            </w:r>
          </w:p>
        </w:tc>
      </w:tr>
    </w:tbl>
    <w:p>
      <w:pPr>
        <w:spacing w:after="40"/>
      </w:pPr>
    </w:p>
    <w:p>
      <w:pPr>
        <w:pStyle w:val="BodyText"/>
        <w:spacing w:after="120" w:line="324" w:lineRule="auto"/>
      </w:pPr>
      <w:r>
        <w:rPr>
          <w:rFonts w:ascii="PingFang SC" w:hAnsi="PingFang SC" w:eastAsia="PingFang SC"/>
          <w:b w:val="0"/>
          <w:color w:val="111827"/>
          <w:sz w:val="22"/>
        </w:rPr>
        <w:t>事实边界：本项目与工商银行公开的数智化方向进行场景对齐，不代表已经获得工商银行授权、接入工商银行内部系统、使用工商银行非公开数据或形成商业合作。后续若进入试点，必须经过数据、模型、系统和业务安全评估。</w:t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二 背景分析与需求判断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2.1 金融研究的工作流痛点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资料来源分散：年报、公告、监管信息、新闻和行业资料分散在多个入口，研究人员需要反复搜索、下载、阅读和整理。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多维分析难以并行：行业、基本面、消息面、估值和风险之间既有专业分工，又需要最终交叉验证。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证据链不完整：普通对话式 AI 往往只给出结论，不能稳定返回页码、表格位置、来源地址、获取时间和计算过程。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研究结果难以复用：一次任务的中间过程、失败原因和人工修改点没有统一沉淀，刷新或换人后容易重复劳动。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金融容错率低：模型幻觉、数据口径不一致和引用失真，会直接影响研究判断，因此系统必须保留人工复核边界。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2.2 赛事与工商银行公开方向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赛事官方信息显示，本届大赛鼓励参赛者结合真实金融业务场景，使用 AI 等新技术提出内容充实、创意新颖、可行性强的方案。工商银行 2025 年度报告披露了“领航AI+”行动、“工银智涌”大模型技术体系、多模型融合、企业知识工程、智能体协同和基础设施/数据/模型/应用全链路安全防护等方向。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这些公开信息给弈金的启发是：应用层产品不应只强调“模型很强”，而应说明知识如何进入系统、任务如何组织、风险如何控制、结果如何复核，以及如何在现有金融科技底座之上形成可部署的业务工作流。</w:t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三 产品方案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3.1 产品闭环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创建任务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填写公司、问题和研究范围；上传 PDF。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校验文件并建立用户、机构、任务、文件关系。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研究任务与证据集合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任务规划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确认研究目标。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Commander 识别目标，生成带 Agent、输入、输出和依赖的任务图。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结构化 DAG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专业执行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查看进度，必要时取消或重试。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Specialist 并行或按依赖执行；Search Provider 保存公开来源。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专业分析与引用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统一审查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查看来源、质量状态和待复核项。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共享协议执行数字、引用、完整性和风险检查。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证据与质量状态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报告复核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编辑、确认或退回草稿。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报告合成师输出 Markdown/PDF；未复核内容保留草稿标识。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可导出研究报告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3.2 核心功能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智能分析指挥台：自然语言输入问题，Commander 自动判断简单任务与复杂任务，按需选择 Specialist。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多 Agent 分析引擎：行业分析、基本面分析、消息面分析、估值/财务建模、风险分析和报告合成等核心角色。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PDF 解析与证据检索：支持文本提取、文档分块、关键词检索、页码定位和引用回链。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实时进度与任务恢复：后台 Worker 执行长任务，通过 SSE 展示状态；用户刷新后仍可恢复查看。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报告与人工复核：在线 Markdown 展示，支持 PDF 导出；报告包含来源、生成时间、风险提示和人工复核状态。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模型和搜索解耦：模型通过统一 Provider 接口调用，联网检索由 Search Provider 负责，避免 Agent 绑定单一 SDK。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3.3 产品当前能力与后续规划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能力层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当前可说明内容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下一阶段规划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任务编排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Commander + Specialist 结构、SSE、任务历史。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结构化 DAG 依赖、重试策略和取消恢复增强。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不允许无限重试和无限 Agent 派生。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数据来源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上传 PDF 与公开网页检索。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接入可插拔的公开结构化金融数据源。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关键财务数字不得只依赖普通搜索摘要。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模型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DeepSeek 为当前默认 Provider。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支持更多国产或本地模型。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Agent 不直接依赖具体 SDK。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文件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PDF 文本与引用定位。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表格抽取和更强的文档质量检测。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OCR、Word、Excel 不属于当前首版。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报告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在线 Markdown、PDF 导出、人工复核标记。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图表、评测集和导出一致性增强。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Word 导出不属于当前首版。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四 面向工商银行的场景化适配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4.1 智能研究引擎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弈金可以作为研究应用层，把公司公告、行业资料、公开信息和研究任务组织起来，形成“问题—证据—分析—复核—报告”的研究底稿。它的价值在于把搜索和模型回答变成可以查看、复核和复用的工作流，不与工行已有底层模型体系形成替代关系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4.2 科技金融与企业客户分析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围绕科技型企业或产业链企业，可以将行业景气、企业基本面、公开舆情、知识产权/资质材料和经营风险组织为一份辅助尽调报告。系统只提供结构化分析和待复核事项，授信、审批和客户决策仍由有权限的业务人员完成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4.3 风险与金融安全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金融场景必须把“安全”写进产品协议。弈金拟从数据、模型、应用和人工操作四个层面建立约束：文件按用户和机构隔离；敏感信息不进入普通日志；关键数字要求来源；模型判断和原始数据分层；报告导出前必须人工复核；系统不执行交易、不自动发布金融结论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4.4 与工银智涌等公开方向的关系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公开方向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弈金可承担的应用层角色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需要进一步验证的事项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多模型与金融级底座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通过 Provider 抽象承接模型能力，保持 Agent 编排层可替换。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模型接入标准、权限、部署边界和性能指标。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企业知识工程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将研究资料、公开来源和任务结果按证据关系组织。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知识库范围、数据分级、更新机制和检索质量。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智能体协同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以 Commander + Specialist 表达任务分工和依赖。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与既有智能体平台的协议、编排和审计接口。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全链路安全防护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提供引用、任务、人工复核和导出留痕。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安全测试、渗透测试、模型红队和生产审批。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五 技术架构与创新点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5.1 总体架构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系统由 Web 前端、API 层、任务编排层、质量与证据层和基础设施组成。API 层负责认证、权限、文件、任务、Agent 和报告接口；任务编排层负责 Commander、DAG 调度、Specialist 执行和报告合成；质量与证据层负责文件解析、检索、引用核验、计算核验和报告审查；PostgreSQL、Redis、Worker 与对象存储提供持久化、队列和文件保存能力。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5.2 Commander 与 Specialist 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Commander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识别公司、研究目标和分析范围；选择合法 Agent；生成任务图。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任务 ID、Agent 名称、输入、输出、优先级、依赖关系。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Specialist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读取任务和证据，按专业框架分析并自检。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内容、证据、数字核验、质量状态、待复核项。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Search Provider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联网搜索、保存来源、去重并记录获取时间。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URL、标题、摘要、定位、抓取时间。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Report Synthesizer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整合专家结果，标记冲突、失败、超时和跳过。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研究报告草稿、来源、风险提示和复核状态。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5.3 三项创新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工作流创新：将金融研究中的专业分工建模为 Commander + Specialist，而非一次性问答。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证据链创新：把来源追溯、过程追溯和任务追溯作为统一协议，贯穿每个 Agent。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落地创新：采用模型可替换、搜索独立、SaaS 与私有化并行的架构，降低金融机构试点门槛。</w:t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六 可行性、商业模式与竞争分析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6.1 技术可行性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当前项目已具备 Web 前端、FastAPI 后端、Agent 注册与编排、SSE 流式输出、搜索引用持久化、用户登录、Docker Compose 部署等 MVP 基础。后续技术重点不是继续堆叠 Agent 数量，而是补齐结构化 DAG、真实公开数据源、质量评测和权限测试。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6.2 商业模式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服务对象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价值来源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前置条件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机构私有化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中小银行、券商、基金和研究团队。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按部署、席位和服务收费；数据不出机构边界。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通过安全评估、部署适配和项目验收。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团队 SaaS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小型投研团队和高校金融实验室。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按席位、任务量或高级功能订阅。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公开数据和模型成本可控。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能力服务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金融科技集成商或业务部门。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提供编排、证据链和报告工作流 API。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统一 Provider、Search 和审计接口。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6.3 竞争差异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通用聊天工具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低代码 Agent 平台</w:t>
            </w:r>
          </w:p>
        </w:tc>
        <w:tc>
          <w:tcPr>
            <w:tcW w:type="dxa" w:w="2183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弈金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金融方法论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需要用户自行组织。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需要自行配置。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内置行业、基本面、估值、风险等专业角色。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任务协作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通常是一问一答。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灵活但搭建成本高。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Commander 自动拆解，Specialist 按依赖执行。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证据与审计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来源和过程不稳定。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取决于用户配置。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统一保存引用、任务状态、质量状态和待复核项。</w:t>
            </w:r>
          </w:p>
        </w:tc>
      </w:tr>
      <w:tr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部署与模型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受平台和模型限制。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需要工程维护。</w:t>
            </w:r>
          </w:p>
        </w:tc>
        <w:tc>
          <w:tcPr>
            <w:tcW w:type="dxa" w:w="2183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Provider 解耦，支持 SaaS 与私有化方向。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七 实施路径、评测与预算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7.1 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验收指标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阶段一：MVP 闭环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文件、任务、Worker、Agent 编排、引用、报告和人工复核。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可上传、可执行、可恢复、可回链、可导出。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阶段二：可靠性增强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结构化 DAG、取消/重试、权限隔离、质量检查和错误提示。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关键路径测试；失败可见且可恢复。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阶段三：数据与评测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接入公开结构化数据；建立 10–20 家 A 股公司评测集。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关键数字可追溯率目标 100%；引用覆盖率目标不低于 90%。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阶段四：机构试点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私有化部署、安全评估、业务流程适配和人工反馈闭环。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通过部署验收和业务人员可用性测试。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7.2 评测体系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任务拆解：评测 Commander 是否选对 Agent、输入输出是否完整、依赖关系是否合理。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事实与数字：检查关键数字、单位、期间、口径与来源定位。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引用质量：检查来源可访问性、引用覆盖率、重复来源和待核验标记。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工程可靠性：检查任务成功率、重试、取消、断线恢复、权限隔离和导出一致性。</w:t>
      </w:r>
    </w:p>
    <w:p>
      <w:pPr>
        <w:pStyle w:val="ListBullet"/>
        <w:spacing w:after="60" w:line="300" w:lineRule="auto"/>
      </w:pPr>
      <w:r>
        <w:rPr>
          <w:rFonts w:ascii="PingFang SC" w:hAnsi="PingFang SC" w:eastAsia="PingFang SC"/>
          <w:b w:val="0"/>
          <w:color w:val="111827"/>
          <w:sz w:val="22"/>
        </w:rPr>
        <w:t>人工价值：记录耗时、失败原因和人工修改点，不用“模型说得像”作为唯一评价标准。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7.3 预算原则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校赛阶段以低成本验证闭环为目标，主要成本包括模型调用、云服务器、域名与公开数据源。预算采用“按量计费、优先免费公开数据源、必要时私有化”的原则，不在项目早期预设昂贵的数据采购或复杂运维系统。进入机构试点后，再根据并发量、数据等级、安全测试和部署环境形成正式预算。</w:t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八 风险分析与合规边界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可能影响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模型幻觉与引用失真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研究结论错误，降低用户信任。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强制来源、数字核验和待核验状态；人工复核后才能形成正式成果。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数据口径不一致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不同来源期间、单位或统计口径不同。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保存原始数据、单位、期间、来源和计算公式；冲突时显式标记。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敏感数据泄露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用户材料跨组织访问或进入普通日志。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用户/机构权限隔离；对象存储抽象；密钥只由环境变量注入；敏感信息不写普通日志。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模型或搜索服务不可用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任务失败、超时或结果不完整。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后台 Worker、状态持久化、有限重试、失败原因记录和可恢复任务。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金融误用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用户将草稿当作投资建议或自动决策。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明确风险提示；不自动交易；不生成个性化买卖指令；保留 Human-in-the-Loop。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工行场景误读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将公开方向误写成合作或授权。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所有内容使用“适配建议/候选场景”表述，正式接入须另行授权与评估。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九 项目效益与答辩演示</w:t>
      </w: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9.1 预期效益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受益方</w:t>
            </w:r>
          </w:p>
        </w:tc>
        <w:tc>
          <w:tcPr>
            <w:tcW w:type="dxa" w:w="4366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预期价值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研究人员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减少资料搜集、初步整理和报告排版时间，将注意力转向判断和复核。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金融机构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沉淀统一的任务、证据和质量协议，为研究、尽调和风险场景提供可复用的应用层。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工商银行场景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可与智能研究、科技金融、知识工程和智能体协同方向形成应用层对接假设。</w:t>
            </w:r>
          </w:p>
        </w:tc>
      </w:tr>
      <w:tr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社会与教育</w:t>
            </w:r>
          </w:p>
        </w:tc>
        <w:tc>
          <w:tcPr>
            <w:tcW w:type="dxa" w:w="4366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推动大学生把 AI 能力放入真实金融工作流，形成可评测、可解释、可复核的实践样本。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 w:eastAsia="PingFang SC"/>
          <w:b w:val="0"/>
          <w:color w:val="111827"/>
          <w:sz w:val="26"/>
        </w:rPr>
        <w:t>9.2 现场 Demo 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时刻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演示动作</w:t>
            </w:r>
          </w:p>
        </w:tc>
        <w:tc>
          <w:tcPr>
            <w:tcW w:type="dxa" w:w="2911"/>
            <w:shd w:fill="173A7A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评委看到的价值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输入“研究某 A 股公司”，提交任务。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系统自动理解问题并生成任务图。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展示 Commander 分派行业、基本面、消息面和风险任务。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多 Agent 协作不是概念，而是可见的执行过程。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展示 SSE 状态和中间输出。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长任务在后台运行，用户能看到进度和失败状态。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点击引用链接或 PDF 页码定位。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1FA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结论可以回到来源，避免只看模型措辞。</w:t>
            </w:r>
          </w:p>
        </w:tc>
      </w:tr>
      <w:tr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打开报告草稿和复核项，导出 PDF。</w:t>
            </w:r>
          </w:p>
        </w:tc>
        <w:tc>
          <w:tcPr>
            <w:tcW w:type="dxa" w:w="2911"/>
            <w:tcBorders>
              <w:top w:val="single" w:sz="6" w:space="0" w:color="D9DDE6"/>
              <w:left w:val="single" w:sz="6" w:space="0" w:color="D9DDE6"/>
              <w:bottom w:val="single" w:sz="6" w:space="0" w:color="D9DDE6"/>
              <w:right w:val="single" w:sz="6" w:space="0" w:color="D9DDE6"/>
              <w:insideH w:val="single" w:sz="6" w:space="0" w:color="D9DDE6"/>
              <w:insideV w:val="single" w:sz="6" w:space="0" w:color="D9DDE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PingFang SC" w:hAnsi="PingFang SC" w:eastAsia="PingFang SC"/>
                <w:b w:val="0"/>
                <w:color w:val="111827"/>
                <w:sz w:val="18"/>
              </w:rPr>
              <w:t>系统保留人工边界，报告可带走、可回溯。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十 结论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弈金选择一个清晰而克制的切入点：面向金融机构的深度研究工作台。它不以 Agent 数量或模型参数为卖点，而以任务组织、证据链、质量审查、人工复核和可部署性回答金融 AI 的真实落地问题。</w:t>
      </w:r>
    </w:p>
    <w:p>
      <w:pPr>
        <w:pStyle w:val="BodyText"/>
        <w:spacing w:after="120" w:line="324" w:lineRule="auto"/>
        <w:ind w:firstLine="420"/>
      </w:pPr>
      <w:r>
        <w:rPr>
          <w:rFonts w:ascii="PingFang SC" w:hAnsi="PingFang SC" w:eastAsia="PingFang SC"/>
          <w:b w:val="0"/>
          <w:color w:val="111827"/>
          <w:sz w:val="22"/>
        </w:rPr>
        <w:t>在工商银行等大型金融机构已经建设金融大模型、知识工程和智能体协同能力的背景下，弈金的机会不在于重复建设底层模型，而在于提出一个可用于研究与尽调场景的应用层工作流方案。项目将以 MVP 闭环为基础，继续通过公开材料、标准评测集和可用性测试验证价值，逐步形成面向金融机构的可靠 AI 工作台。</w:t>
      </w:r>
    </w:p>
    <w:p>
      <w:pPr>
        <w:pStyle w:val="Heading1"/>
        <w:keepNext/>
      </w:pPr>
      <w:r>
        <w:rPr>
          <w:rFonts w:ascii="PingFang SC" w:hAnsi="PingFang SC" w:eastAsia="PingFang SC"/>
          <w:b/>
          <w:color w:val="111827"/>
          <w:sz w:val="32"/>
        </w:rPr>
        <w:t>附录 参考资料与事实边界</w:t>
      </w:r>
    </w:p>
    <w:p>
      <w:pPr>
        <w:pStyle w:val="BodyText"/>
        <w:spacing w:after="60"/>
        <w:ind w:left="420"/>
      </w:pPr>
      <w:r>
        <w:rPr>
          <w:rFonts w:ascii="PingFang SC" w:hAnsi="PingFang SC" w:eastAsia="PingFang SC"/>
          <w:b w:val="0"/>
          <w:color w:val="555555"/>
          <w:sz w:val="18"/>
        </w:rPr>
        <w:t>赛事官方：第十七届“工行杯”全国大学生金融科技创新大赛介绍：https://www.gonghangbei.com/dsjs.html</w:t>
      </w:r>
    </w:p>
    <w:p>
      <w:pPr>
        <w:pStyle w:val="BodyText"/>
        <w:spacing w:after="60"/>
        <w:ind w:left="420"/>
      </w:pPr>
      <w:r>
        <w:rPr>
          <w:rFonts w:ascii="PingFang SC" w:hAnsi="PingFang SC" w:eastAsia="PingFang SC"/>
          <w:b w:val="0"/>
          <w:color w:val="555555"/>
          <w:sz w:val="18"/>
        </w:rPr>
        <w:t>赛事官方：赛事指引与常见问题：https://www.gonghangbei.com/sszy.html</w:t>
      </w:r>
    </w:p>
    <w:p>
      <w:pPr>
        <w:pStyle w:val="BodyText"/>
        <w:spacing w:after="60"/>
        <w:ind w:left="420"/>
      </w:pPr>
      <w:r>
        <w:rPr>
          <w:rFonts w:ascii="PingFang SC" w:hAnsi="PingFang SC" w:eastAsia="PingFang SC"/>
          <w:b w:val="0"/>
          <w:color w:val="555555"/>
          <w:sz w:val="18"/>
        </w:rPr>
        <w:t>赛事官方：往期作品：https://www.gonghangbei.com/index/Lists/index.html?id=38</w:t>
      </w:r>
    </w:p>
    <w:p>
      <w:pPr>
        <w:pStyle w:val="BodyText"/>
        <w:spacing w:after="60"/>
        <w:ind w:left="420"/>
      </w:pPr>
      <w:r>
        <w:rPr>
          <w:rFonts w:ascii="PingFang SC" w:hAnsi="PingFang SC" w:eastAsia="PingFang SC"/>
          <w:b w:val="0"/>
          <w:color w:val="555555"/>
          <w:sz w:val="18"/>
        </w:rPr>
        <w:t>中国工商银行：2025 年年度报告：https://v.icbc.com.cn/userfiles/resources/icbcltd/download/2026/2025AnnualReportA.pdf</w:t>
      </w:r>
    </w:p>
    <w:p>
      <w:pPr>
        <w:pStyle w:val="BodyText"/>
        <w:spacing w:after="60"/>
        <w:ind w:left="420"/>
      </w:pPr>
      <w:r>
        <w:rPr>
          <w:rFonts w:ascii="PingFang SC" w:hAnsi="PingFang SC" w:eastAsia="PingFang SC"/>
          <w:b w:val="0"/>
          <w:color w:val="555555"/>
          <w:sz w:val="18"/>
        </w:rPr>
        <w:t>中国工商银行：2025 年经营发展向新向优：https://www.icbc.com.cn/page/1211022925399216128.html</w:t>
      </w:r>
    </w:p>
    <w:p>
      <w:pPr>
        <w:pStyle w:val="BodyText"/>
        <w:spacing w:after="120" w:line="324" w:lineRule="auto"/>
      </w:pPr>
      <w:r>
        <w:rPr>
          <w:rFonts w:ascii="PingFang SC" w:hAnsi="PingFang SC" w:eastAsia="PingFang SC"/>
          <w:b w:val="0"/>
          <w:color w:val="111827"/>
          <w:sz w:val="22"/>
        </w:rPr>
        <w:t>事实边界说明：赛事规则、工行公开信息和行业判断可能随时间更新；本文仅引用公开资料，未包含工商银行非公开数据、内部系统信息或未获授权的合作表述。项目中的市场规模、效率和成本等指标如无可复现测量，将作为目标或假设，不作为已被真实用户验证的结论。</w:t>
      </w:r>
    </w:p>
    <w:sectPr w:rsidR="00FC693F" w:rsidRPr="0006063C" w:rsidSect="00034616">
      <w:footerReference w:type="default" r:id="rId9"/>
      <w:pgSz w:w="11906" w:h="16838"/>
      <w:pgMar w:top="153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777777"/>
        <w:sz w:val="18"/>
      </w:rPr>
      <w:t xml:space="preserve">弈金｜工行杯项目策划书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PingFang SC" w:hAnsi="PingFang SC" w:eastAsia="PingFang SC"/>
      <w:b w:val="0"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PingFang SC" w:hAnsi="PingFang SC" w:eastAsia="PingFang SC"/>
      <w:b w:val="0"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/>
      <w:color w:val="11182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