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Energy Market and High Yield Energy Bond Strategy Memo</w:t>
      </w:r>
    </w:p>
    <w:p>
      <w:pPr>
        <w:spacing w:after="160"/>
        <w:jc w:val="center"/>
      </w:pPr>
      <w:r>
        <w:rPr>
          <w:i/>
          <w:sz w:val="18"/>
        </w:rPr>
        <w:t>To Energy Trading and Sales MDs and Directors | Subject H1 2025 Oil and Gas Credit Strategy</w:t>
      </w:r>
    </w:p>
    <w:p>
      <w:pPr>
        <w:pStyle w:val="Heading1"/>
        <w:spacing w:before="140" w:after="60"/>
      </w:pPr>
      <w:r>
        <w:rPr>
          <w:color w:val="000000"/>
        </w:rPr>
        <w:t>Executive Summary</w:t>
      </w:r>
    </w:p>
    <w:p>
      <w:pPr>
        <w:spacing w:after="80" w:line="252" w:lineRule="auto"/>
      </w:pPr>
      <w:r>
        <w:rPr>
          <w:b/>
        </w:rPr>
        <w:t>Recommendation:</w:t>
      </w:r>
      <w:r>
        <w:t xml:space="preserve"> keep the energy bond sleeve at 10% of the $300 million portfolio, or $30 million. Allocate $21 million to high yield energy credit, equal to 7% of the total portfolio and comfortably below the 20% HY cap. Target a 3.6 year HY duration, inside the 3-5 year constraint, with dry powder for event driven dislocations.</w:t>
      </w:r>
    </w:p>
    <w:p>
      <w:pPr>
        <w:pStyle w:val="ListBullet"/>
        <w:spacing w:after="30"/>
      </w:pPr>
      <w:r>
        <w:t>Oil is a trading market, not a structural long. H1 2025 price spikes were driven mainly by geopolitical risk premia, while the base case still points to adequate supply and later inventory builds.</w:t>
      </w:r>
    </w:p>
    <w:p>
      <w:pPr>
        <w:pStyle w:val="ListBullet"/>
        <w:spacing w:after="30"/>
      </w:pPr>
      <w:r>
        <w:t>Natural gas offers the better credit setup. LNG exports, power demand, and tighter inventories support stronger 2025 Henry Hub prices versus the depressed 2024 base.</w:t>
      </w:r>
    </w:p>
    <w:p>
      <w:pPr>
        <w:pStyle w:val="ListBullet"/>
        <w:spacing w:after="30"/>
      </w:pPr>
      <w:r>
        <w:t>Prefer carry and pull to par in 2029-2030 bonds issued by low cost producers. Avoid long dated unsecured B risk where refinancing depends on another commodity rally.</w:t>
      </w:r>
    </w:p>
    <w:p>
      <w:pPr>
        <w:pStyle w:val="ListBullet"/>
        <w:spacing w:after="30"/>
      </w:pPr>
      <w:r>
        <w:t>Sales should monetize volatility through client switches, new issue prefunding, and relative value axes: gas credit over oil beta after oil spikes; strong balance sheets over broad HY beta.</w:t>
      </w:r>
    </w:p>
    <w:p>
      <w:pPr>
        <w:pStyle w:val="Heading1"/>
        <w:spacing w:before="140" w:after="60"/>
      </w:pPr>
      <w:r>
        <w:rPr>
          <w:color w:val="000000"/>
        </w:rPr>
        <w:t>Portfolio Constraints and Proposed Allocation</w:t>
      </w:r>
    </w:p>
    <w:tbl>
      <w:tblPr>
        <w:tblW w:type="auto" w:w="0"/>
        <w:tblLayout w:type="fixed"/>
        <w:tblLook w:firstColumn="1" w:firstRow="1" w:lastColumn="0" w:lastRow="0" w:noHBand="0" w:noVBand="1" w:val="04A0"/>
      </w:tblPr>
      <w:tblGrid>
        <w:gridCol w:w="2091"/>
        <w:gridCol w:w="2091"/>
        <w:gridCol w:w="2091"/>
        <w:gridCol w:w="2091"/>
        <w:gridCol w:w="2091"/>
      </w:tblGrid>
      <w:tr>
        <w:trPr>
          <w:cantSplit/>
          <w:tblHeader/>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1F4E79"/>
          </w:tcPr>
          <w:p>
            <w:pPr>
              <w:spacing w:after="0" w:line="252" w:lineRule="auto"/>
              <w:jc w:val="center"/>
            </w:pPr>
            <w:r>
              <w:rPr>
                <w:rFonts w:ascii="Arial" w:hAnsi="Arial"/>
                <w:b/>
                <w:color w:val="FFFFFF"/>
                <w:sz w:val="16"/>
              </w:rPr>
              <w:t>Bucket</w:t>
            </w:r>
          </w:p>
        </w:tc>
        <w:tc>
          <w:tcPr>
            <w:tcW w:type="dxa" w:w="12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1F4E79"/>
          </w:tcPr>
          <w:p>
            <w:pPr>
              <w:spacing w:after="0" w:line="252" w:lineRule="auto"/>
              <w:jc w:val="center"/>
            </w:pPr>
            <w:r>
              <w:rPr>
                <w:rFonts w:ascii="Arial" w:hAnsi="Arial"/>
                <w:b/>
                <w:color w:val="FFFFFF"/>
                <w:sz w:val="16"/>
              </w:rPr>
              <w:t>Amount</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1F4E79"/>
          </w:tcPr>
          <w:p>
            <w:pPr>
              <w:spacing w:after="0" w:line="252" w:lineRule="auto"/>
              <w:jc w:val="center"/>
            </w:pPr>
            <w:r>
              <w:rPr>
                <w:rFonts w:ascii="Arial" w:hAnsi="Arial"/>
                <w:b/>
                <w:color w:val="FFFFFF"/>
                <w:sz w:val="16"/>
              </w:rPr>
              <w:t>Portfolio</w:t>
            </w:r>
          </w:p>
        </w:tc>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1F4E79"/>
          </w:tcPr>
          <w:p>
            <w:pPr>
              <w:spacing w:after="0" w:line="252" w:lineRule="auto"/>
              <w:jc w:val="center"/>
            </w:pPr>
            <w:r>
              <w:rPr>
                <w:rFonts w:ascii="Arial" w:hAnsi="Arial"/>
                <w:b/>
                <w:color w:val="FFFFFF"/>
                <w:sz w:val="16"/>
              </w:rPr>
              <w:t>Target duration</w:t>
            </w:r>
          </w:p>
        </w:tc>
        <w:tc>
          <w:tcPr>
            <w:tcW w:type="dxa" w:w="4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1F4E79"/>
          </w:tcPr>
          <w:p>
            <w:pPr>
              <w:spacing w:after="0" w:line="252" w:lineRule="auto"/>
              <w:jc w:val="center"/>
            </w:pPr>
            <w:r>
              <w:rPr>
                <w:rFonts w:ascii="Arial" w:hAnsi="Arial"/>
                <w:b/>
                <w:color w:val="FFFFFF"/>
                <w:sz w:val="16"/>
              </w:rPr>
              <w:t>Purpose</w:t>
            </w:r>
          </w:p>
        </w:tc>
      </w:tr>
      <w:tr>
        <w:trPr>
          <w:cantSplit/>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tcPr>
          <w:p>
            <w:pPr>
              <w:spacing w:after="0" w:line="252" w:lineRule="auto"/>
            </w:pPr>
            <w:r>
              <w:rPr>
                <w:rFonts w:ascii="Arial" w:hAnsi="Arial"/>
                <w:sz w:val="16"/>
              </w:rPr>
              <w:t>HY upstream E&amp;P</w:t>
            </w:r>
          </w:p>
        </w:tc>
        <w:tc>
          <w:tcPr>
            <w:tcW w:type="dxa" w:w="12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tcPr>
          <w:p>
            <w:pPr>
              <w:spacing w:after="0" w:line="252" w:lineRule="auto"/>
            </w:pPr>
            <w:r>
              <w:rPr>
                <w:rFonts w:ascii="Arial" w:hAnsi="Arial"/>
                <w:sz w:val="16"/>
              </w:rPr>
              <w:t>$16.5m</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tcPr>
          <w:p>
            <w:pPr>
              <w:spacing w:after="0" w:line="252" w:lineRule="auto"/>
            </w:pPr>
            <w:r>
              <w:rPr>
                <w:rFonts w:ascii="Arial" w:hAnsi="Arial"/>
                <w:sz w:val="16"/>
              </w:rPr>
              <w:t>5.5%</w:t>
            </w:r>
          </w:p>
        </w:tc>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tcPr>
          <w:p>
            <w:pPr>
              <w:spacing w:after="0" w:line="252" w:lineRule="auto"/>
            </w:pPr>
            <w:r>
              <w:rPr>
                <w:rFonts w:ascii="Arial" w:hAnsi="Arial"/>
                <w:sz w:val="16"/>
              </w:rPr>
              <w:t>3.5-4.2 yrs</w:t>
            </w:r>
          </w:p>
        </w:tc>
        <w:tc>
          <w:tcPr>
            <w:tcW w:type="dxa" w:w="4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tcPr>
          <w:p>
            <w:pPr>
              <w:spacing w:after="0" w:line="252" w:lineRule="auto"/>
            </w:pPr>
            <w:r>
              <w:rPr>
                <w:rFonts w:ascii="Arial" w:hAnsi="Arial"/>
                <w:sz w:val="16"/>
              </w:rPr>
              <w:t>Core carry in 2029-2030 maturities; low cost assets and visible deleveraging</w:t>
            </w:r>
          </w:p>
        </w:tc>
      </w:tr>
      <w:tr>
        <w:trPr>
          <w:cantSplit/>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F4F7FA"/>
          </w:tcPr>
          <w:p>
            <w:pPr>
              <w:spacing w:after="0" w:line="252" w:lineRule="auto"/>
            </w:pPr>
            <w:r>
              <w:rPr>
                <w:rFonts w:ascii="Arial" w:hAnsi="Arial"/>
                <w:sz w:val="16"/>
              </w:rPr>
              <w:t>HY secured or asset backed energy</w:t>
            </w:r>
          </w:p>
        </w:tc>
        <w:tc>
          <w:tcPr>
            <w:tcW w:type="dxa" w:w="12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F4F7FA"/>
          </w:tcPr>
          <w:p>
            <w:pPr>
              <w:spacing w:after="0" w:line="252" w:lineRule="auto"/>
            </w:pPr>
            <w:r>
              <w:rPr>
                <w:rFonts w:ascii="Arial" w:hAnsi="Arial"/>
                <w:sz w:val="16"/>
              </w:rPr>
              <w:t>$4.5m</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F4F7FA"/>
          </w:tcPr>
          <w:p>
            <w:pPr>
              <w:spacing w:after="0" w:line="252" w:lineRule="auto"/>
            </w:pPr>
            <w:r>
              <w:rPr>
                <w:rFonts w:ascii="Arial" w:hAnsi="Arial"/>
                <w:sz w:val="16"/>
              </w:rPr>
              <w:t>1.5%</w:t>
            </w:r>
          </w:p>
        </w:tc>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F4F7FA"/>
          </w:tcPr>
          <w:p>
            <w:pPr>
              <w:spacing w:after="0" w:line="252" w:lineRule="auto"/>
            </w:pPr>
            <w:r>
              <w:rPr>
                <w:rFonts w:ascii="Arial" w:hAnsi="Arial"/>
                <w:sz w:val="16"/>
              </w:rPr>
              <w:t>3.0-4.0 yrs</w:t>
            </w:r>
          </w:p>
        </w:tc>
        <w:tc>
          <w:tcPr>
            <w:tcW w:type="dxa" w:w="4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F4F7FA"/>
          </w:tcPr>
          <w:p>
            <w:pPr>
              <w:spacing w:after="0" w:line="252" w:lineRule="auto"/>
            </w:pPr>
            <w:r>
              <w:rPr>
                <w:rFonts w:ascii="Arial" w:hAnsi="Arial"/>
                <w:sz w:val="16"/>
              </w:rPr>
              <w:t>Incremental yield with stronger collateral or recovery profile</w:t>
            </w:r>
          </w:p>
        </w:tc>
      </w:tr>
      <w:tr>
        <w:trPr>
          <w:cantSplit/>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tcPr>
          <w:p>
            <w:pPr>
              <w:spacing w:after="0" w:line="252" w:lineRule="auto"/>
            </w:pPr>
            <w:r>
              <w:rPr>
                <w:rFonts w:ascii="Arial" w:hAnsi="Arial"/>
                <w:sz w:val="16"/>
              </w:rPr>
              <w:t>IG midstream and majors</w:t>
            </w:r>
          </w:p>
        </w:tc>
        <w:tc>
          <w:tcPr>
            <w:tcW w:type="dxa" w:w="12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tcPr>
          <w:p>
            <w:pPr>
              <w:spacing w:after="0" w:line="252" w:lineRule="auto"/>
            </w:pPr>
            <w:r>
              <w:rPr>
                <w:rFonts w:ascii="Arial" w:hAnsi="Arial"/>
                <w:sz w:val="16"/>
              </w:rPr>
              <w:t>$6.0m</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tcPr>
          <w:p>
            <w:pPr>
              <w:spacing w:after="0" w:line="252" w:lineRule="auto"/>
            </w:pPr>
            <w:r>
              <w:rPr>
                <w:rFonts w:ascii="Arial" w:hAnsi="Arial"/>
                <w:sz w:val="16"/>
              </w:rPr>
              <w:t>2.0%</w:t>
            </w:r>
          </w:p>
        </w:tc>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tcPr>
          <w:p>
            <w:pPr>
              <w:spacing w:after="0" w:line="252" w:lineRule="auto"/>
            </w:pPr>
            <w:r>
              <w:rPr>
                <w:rFonts w:ascii="Arial" w:hAnsi="Arial"/>
                <w:sz w:val="16"/>
              </w:rPr>
              <w:t>3.0-5.0 yrs</w:t>
            </w:r>
          </w:p>
        </w:tc>
        <w:tc>
          <w:tcPr>
            <w:tcW w:type="dxa" w:w="4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tcPr>
          <w:p>
            <w:pPr>
              <w:spacing w:after="0" w:line="252" w:lineRule="auto"/>
            </w:pPr>
            <w:r>
              <w:rPr>
                <w:rFonts w:ascii="Arial" w:hAnsi="Arial"/>
                <w:sz w:val="16"/>
              </w:rPr>
              <w:t>Diversification, lower beta, and switch legs for client flow</w:t>
            </w:r>
          </w:p>
        </w:tc>
      </w:tr>
      <w:tr>
        <w:trPr>
          <w:cantSplit/>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F4F7FA"/>
          </w:tcPr>
          <w:p>
            <w:pPr>
              <w:spacing w:after="0" w:line="252" w:lineRule="auto"/>
            </w:pPr>
            <w:r>
              <w:rPr>
                <w:rFonts w:ascii="Arial" w:hAnsi="Arial"/>
                <w:sz w:val="16"/>
              </w:rPr>
              <w:t>Front end energy IG or CP</w:t>
            </w:r>
          </w:p>
        </w:tc>
        <w:tc>
          <w:tcPr>
            <w:tcW w:type="dxa" w:w="12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F4F7FA"/>
          </w:tcPr>
          <w:p>
            <w:pPr>
              <w:spacing w:after="0" w:line="252" w:lineRule="auto"/>
            </w:pPr>
            <w:r>
              <w:rPr>
                <w:rFonts w:ascii="Arial" w:hAnsi="Arial"/>
                <w:sz w:val="16"/>
              </w:rPr>
              <w:t>$3.0m</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F4F7FA"/>
          </w:tcPr>
          <w:p>
            <w:pPr>
              <w:spacing w:after="0" w:line="252" w:lineRule="auto"/>
            </w:pPr>
            <w:r>
              <w:rPr>
                <w:rFonts w:ascii="Arial" w:hAnsi="Arial"/>
                <w:sz w:val="16"/>
              </w:rPr>
              <w:t>1.0%</w:t>
            </w:r>
          </w:p>
        </w:tc>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F4F7FA"/>
          </w:tcPr>
          <w:p>
            <w:pPr>
              <w:spacing w:after="0" w:line="252" w:lineRule="auto"/>
            </w:pPr>
            <w:r>
              <w:rPr>
                <w:rFonts w:ascii="Arial" w:hAnsi="Arial"/>
                <w:sz w:val="16"/>
              </w:rPr>
              <w:t>0.5-1.5 yrs</w:t>
            </w:r>
          </w:p>
        </w:tc>
        <w:tc>
          <w:tcPr>
            <w:tcW w:type="dxa" w:w="4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F4F7FA"/>
          </w:tcPr>
          <w:p>
            <w:pPr>
              <w:spacing w:after="0" w:line="252" w:lineRule="auto"/>
            </w:pPr>
            <w:r>
              <w:rPr>
                <w:rFonts w:ascii="Arial" w:hAnsi="Arial"/>
                <w:sz w:val="16"/>
              </w:rPr>
              <w:t>Liquidity reserve and event redeployment capital</w:t>
            </w:r>
          </w:p>
        </w:tc>
      </w:tr>
      <w:tr>
        <w:trPr>
          <w:cantSplit/>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tcPr>
          <w:p>
            <w:pPr>
              <w:spacing w:after="0" w:line="252" w:lineRule="auto"/>
              <w:jc w:val="center"/>
            </w:pPr>
            <w:r>
              <w:rPr>
                <w:rFonts w:ascii="Arial" w:hAnsi="Arial"/>
                <w:sz w:val="16"/>
              </w:rPr>
              <w:t>Total</w:t>
            </w:r>
          </w:p>
        </w:tc>
        <w:tc>
          <w:tcPr>
            <w:tcW w:type="dxa" w:w="12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tcPr>
          <w:p>
            <w:pPr>
              <w:spacing w:after="0" w:line="252" w:lineRule="auto"/>
            </w:pPr>
            <w:r>
              <w:rPr>
                <w:rFonts w:ascii="Arial" w:hAnsi="Arial"/>
                <w:sz w:val="16"/>
              </w:rPr>
              <w:t>$30.0m</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tcPr>
          <w:p>
            <w:pPr>
              <w:spacing w:after="0" w:line="252" w:lineRule="auto"/>
            </w:pPr>
            <w:r>
              <w:rPr>
                <w:rFonts w:ascii="Arial" w:hAnsi="Arial"/>
                <w:sz w:val="16"/>
              </w:rPr>
              <w:t>10.0%</w:t>
            </w:r>
          </w:p>
        </w:tc>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tcPr>
          <w:p>
            <w:pPr>
              <w:spacing w:after="0" w:line="252" w:lineRule="auto"/>
            </w:pPr>
            <w:r>
              <w:rPr>
                <w:rFonts w:ascii="Arial" w:hAnsi="Arial"/>
                <w:sz w:val="16"/>
              </w:rPr>
              <w:t>about 3.4 yrs</w:t>
            </w:r>
          </w:p>
        </w:tc>
        <w:tc>
          <w:tcPr>
            <w:tcW w:type="dxa" w:w="4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tcPr>
          <w:p>
            <w:pPr>
              <w:spacing w:after="0" w:line="252" w:lineRule="auto"/>
            </w:pPr>
            <w:r>
              <w:rPr>
                <w:rFonts w:ascii="Arial" w:hAnsi="Arial"/>
                <w:sz w:val="16"/>
              </w:rPr>
              <w:t>Energy bond allocation with HY exposure below the portfolio limit</w:t>
            </w:r>
          </w:p>
        </w:tc>
      </w:tr>
    </w:tbl>
    <w:p>
      <w:pPr>
        <w:spacing w:after="80" w:line="252" w:lineRule="auto"/>
      </w:pPr>
      <w:r>
        <w:t>Risk guardrails: cap any single issuer at the lower of 2.5% of the total portfolio or 25% of the energy sleeve. Review any B/B3 unsecured position after a 3 point mark to market loss or after 150bp of relative widening versus comparable energy HY.</w:t>
      </w:r>
    </w:p>
    <w:p>
      <w:pPr>
        <w:pStyle w:val="Heading1"/>
        <w:spacing w:before="140" w:after="60"/>
      </w:pPr>
      <w:r>
        <w:rPr>
          <w:color w:val="000000"/>
        </w:rPr>
        <w:t>Energy Market Overview</w:t>
      </w:r>
    </w:p>
    <w:p>
      <w:pPr>
        <w:spacing w:after="80" w:line="252" w:lineRule="auto"/>
      </w:pPr>
      <w:r>
        <w:t>Oil: the 2025 base case is range bound. The World Bank expected a material 2025 oil surplus and cited OPEC+ spare capacity as a buffer against a wider Middle East shock. EIA's March 2025 STEO forecast Brent at $74 per barrel for 2025 and $68 for 2026, but its May forecast moved down to $66 for 2025 as trade policy and supply growth weakened the demand balance.</w:t>
      </w:r>
    </w:p>
    <w:p>
      <w:pPr>
        <w:spacing w:after="80" w:line="252" w:lineRule="auto"/>
      </w:pPr>
      <w:r>
        <w:t>H1 2025 validated a buy weakness and sell shock premium approach. EIA's Q2 review showed Brent falling from nearly $75 per barrel in early April to $64 in June, then jumping from $69 to $79 between June 12 and June 19 after the Israel Iran escalation, before ending the quarter near $68 after ceasefire risk premia faded.</w:t>
      </w:r>
    </w:p>
    <w:p>
      <w:pPr>
        <w:spacing w:after="80" w:line="252" w:lineRule="auto"/>
      </w:pPr>
      <w:r>
        <w:t>Natural gas: the credit setup is stronger than oil. EIA's March STEO forecast Henry Hub at $4.20 per MMBtu in 2025 and $4.50 in 2026, versus $2.20 in 2024. The main drivers are inventory normalization, higher LNG exports, weather related demand, and commercial power demand including data centers.</w:t>
      </w:r>
    </w:p>
    <w:tbl>
      <w:tblPr>
        <w:tblW w:type="auto" w:w="0"/>
        <w:tblLayout w:type="fixed"/>
        <w:tblLook w:firstColumn="1" w:firstRow="1" w:lastColumn="0" w:lastRow="0" w:noHBand="0" w:noVBand="1" w:val="04A0"/>
      </w:tblPr>
      <w:tblGrid>
        <w:gridCol w:w="2613"/>
        <w:gridCol w:w="2613"/>
        <w:gridCol w:w="2613"/>
        <w:gridCol w:w="2613"/>
      </w:tblGrid>
      <w:tr>
        <w:trPr>
          <w:cantSplit/>
          <w:tblHeader/>
        </w:trP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1F4E79"/>
          </w:tcPr>
          <w:p>
            <w:pPr>
              <w:spacing w:after="0" w:line="252" w:lineRule="auto"/>
              <w:jc w:val="center"/>
            </w:pPr>
            <w:r>
              <w:rPr>
                <w:rFonts w:ascii="Arial" w:hAnsi="Arial"/>
                <w:b/>
                <w:color w:val="FFFFFF"/>
                <w:sz w:val="16"/>
              </w:rPr>
              <w:t>Variable</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1F4E79"/>
          </w:tcPr>
          <w:p>
            <w:pPr>
              <w:spacing w:after="0" w:line="252" w:lineRule="auto"/>
              <w:jc w:val="center"/>
            </w:pPr>
            <w:r>
              <w:rPr>
                <w:rFonts w:ascii="Arial" w:hAnsi="Arial"/>
                <w:b/>
                <w:color w:val="FFFFFF"/>
                <w:sz w:val="16"/>
              </w:rPr>
              <w:t>H1 2025 read</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1F4E79"/>
          </w:tcPr>
          <w:p>
            <w:pPr>
              <w:spacing w:after="0" w:line="252" w:lineRule="auto"/>
              <w:jc w:val="center"/>
            </w:pPr>
            <w:r>
              <w:rPr>
                <w:rFonts w:ascii="Arial" w:hAnsi="Arial"/>
                <w:b/>
                <w:color w:val="FFFFFF"/>
                <w:sz w:val="16"/>
              </w:rPr>
              <w:t>Credit implication</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1F4E79"/>
          </w:tcPr>
          <w:p>
            <w:pPr>
              <w:spacing w:after="0" w:line="252" w:lineRule="auto"/>
              <w:jc w:val="center"/>
            </w:pPr>
            <w:r>
              <w:rPr>
                <w:rFonts w:ascii="Arial" w:hAnsi="Arial"/>
                <w:b/>
                <w:color w:val="FFFFFF"/>
                <w:sz w:val="16"/>
              </w:rPr>
              <w:t>Trading action</w:t>
            </w:r>
          </w:p>
        </w:tc>
      </w:tr>
      <w:tr>
        <w:trPr>
          <w:cantSplit/>
        </w:trP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tcPr>
          <w:p>
            <w:pPr>
              <w:spacing w:after="0" w:line="252" w:lineRule="auto"/>
              <w:jc w:val="center"/>
            </w:pPr>
            <w:r>
              <w:rPr>
                <w:rFonts w:ascii="Arial" w:hAnsi="Arial"/>
                <w:sz w:val="16"/>
              </w:rPr>
              <w:t>Brent and WTI</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tcPr>
          <w:p>
            <w:pPr>
              <w:spacing w:after="0" w:line="252" w:lineRule="auto"/>
            </w:pPr>
            <w:r>
              <w:rPr>
                <w:rFonts w:ascii="Arial" w:hAnsi="Arial"/>
                <w:sz w:val="16"/>
              </w:rPr>
              <w:t>Wide range; fast geopolitical spikes</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tcPr>
          <w:p>
            <w:pPr>
              <w:spacing w:after="0" w:line="252" w:lineRule="auto"/>
            </w:pPr>
            <w:r>
              <w:rPr>
                <w:rFonts w:ascii="Arial" w:hAnsi="Arial"/>
                <w:sz w:val="16"/>
              </w:rPr>
              <w:t>Short term cash flow lift but no full cure for oversupply</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tcPr>
          <w:p>
            <w:pPr>
              <w:spacing w:after="0" w:line="252" w:lineRule="auto"/>
            </w:pPr>
            <w:r>
              <w:rPr>
                <w:rFonts w:ascii="Arial" w:hAnsi="Arial"/>
                <w:sz w:val="16"/>
              </w:rPr>
              <w:t>Sell weak oil beta into spikes; buy strong carry on dips</w:t>
            </w:r>
          </w:p>
        </w:tc>
      </w:tr>
      <w:tr>
        <w:trPr>
          <w:cantSplit/>
        </w:trP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F4F7FA"/>
          </w:tcPr>
          <w:p>
            <w:pPr>
              <w:spacing w:after="0" w:line="252" w:lineRule="auto"/>
              <w:jc w:val="center"/>
            </w:pPr>
            <w:r>
              <w:rPr>
                <w:rFonts w:ascii="Arial" w:hAnsi="Arial"/>
                <w:sz w:val="16"/>
              </w:rPr>
              <w:t>Henry Hub</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F4F7FA"/>
          </w:tcPr>
          <w:p>
            <w:pPr>
              <w:spacing w:after="0" w:line="252" w:lineRule="auto"/>
            </w:pPr>
            <w:r>
              <w:rPr>
                <w:rFonts w:ascii="Arial" w:hAnsi="Arial"/>
                <w:sz w:val="16"/>
              </w:rPr>
              <w:t>Recovery from 2024 trough</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F4F7FA"/>
          </w:tcPr>
          <w:p>
            <w:pPr>
              <w:spacing w:after="0" w:line="252" w:lineRule="auto"/>
            </w:pPr>
            <w:r>
              <w:rPr>
                <w:rFonts w:ascii="Arial" w:hAnsi="Arial"/>
                <w:sz w:val="16"/>
              </w:rPr>
              <w:t>Better cash flow for low cost gas basins</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F4F7FA"/>
          </w:tcPr>
          <w:p>
            <w:pPr>
              <w:spacing w:after="0" w:line="252" w:lineRule="auto"/>
            </w:pPr>
            <w:r>
              <w:rPr>
                <w:rFonts w:ascii="Arial" w:hAnsi="Arial"/>
                <w:sz w:val="16"/>
              </w:rPr>
              <w:t>Overweight selected gas credit</w:t>
            </w:r>
          </w:p>
        </w:tc>
      </w:tr>
      <w:tr>
        <w:trPr>
          <w:cantSplit/>
        </w:trP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tcPr>
          <w:p>
            <w:pPr>
              <w:spacing w:after="0" w:line="252" w:lineRule="auto"/>
              <w:jc w:val="center"/>
            </w:pPr>
            <w:r>
              <w:rPr>
                <w:rFonts w:ascii="Arial" w:hAnsi="Arial"/>
                <w:sz w:val="16"/>
              </w:rPr>
              <w:t>HY spreads</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tcPr>
          <w:p>
            <w:pPr>
              <w:spacing w:after="0" w:line="252" w:lineRule="auto"/>
            </w:pPr>
            <w:r>
              <w:rPr>
                <w:rFonts w:ascii="Arial" w:hAnsi="Arial"/>
                <w:sz w:val="16"/>
              </w:rPr>
              <w:t>Tight, but income attractive</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tcPr>
          <w:p>
            <w:pPr>
              <w:spacing w:after="0" w:line="252" w:lineRule="auto"/>
            </w:pPr>
            <w:r>
              <w:rPr>
                <w:rFonts w:ascii="Arial" w:hAnsi="Arial"/>
                <w:sz w:val="16"/>
              </w:rPr>
              <w:t>Returns driven by coupon and pull to par</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tcPr>
          <w:p>
            <w:pPr>
              <w:spacing w:after="0" w:line="252" w:lineRule="auto"/>
            </w:pPr>
            <w:r>
              <w:rPr>
                <w:rFonts w:ascii="Arial" w:hAnsi="Arial"/>
                <w:sz w:val="16"/>
              </w:rPr>
              <w:t>Security selection over index beta</w:t>
            </w:r>
          </w:p>
        </w:tc>
      </w:tr>
      <w:tr>
        <w:trPr>
          <w:cantSplit/>
        </w:trPr>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F4F7FA"/>
          </w:tcPr>
          <w:p>
            <w:pPr>
              <w:spacing w:after="0" w:line="252" w:lineRule="auto"/>
              <w:jc w:val="center"/>
            </w:pPr>
            <w:r>
              <w:rPr>
                <w:rFonts w:ascii="Arial" w:hAnsi="Arial"/>
                <w:sz w:val="16"/>
              </w:rPr>
              <w:t>Rates curve</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F4F7FA"/>
          </w:tcPr>
          <w:p>
            <w:pPr>
              <w:spacing w:after="0" w:line="252" w:lineRule="auto"/>
            </w:pPr>
            <w:r>
              <w:rPr>
                <w:rFonts w:ascii="Arial" w:hAnsi="Arial"/>
                <w:sz w:val="16"/>
              </w:rPr>
              <w:t>Volatile and prone to steepening</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F4F7FA"/>
          </w:tcPr>
          <w:p>
            <w:pPr>
              <w:spacing w:after="0" w:line="252" w:lineRule="auto"/>
            </w:pPr>
            <w:r>
              <w:rPr>
                <w:rFonts w:ascii="Arial" w:hAnsi="Arial"/>
                <w:sz w:val="16"/>
              </w:rPr>
              <w:t>Long duration credit remains vulnerable</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F4F7FA"/>
          </w:tcPr>
          <w:p>
            <w:pPr>
              <w:spacing w:after="0" w:line="252" w:lineRule="auto"/>
            </w:pPr>
            <w:r>
              <w:rPr>
                <w:rFonts w:ascii="Arial" w:hAnsi="Arial"/>
                <w:sz w:val="16"/>
              </w:rPr>
              <w:t>Keep HY duration in 3-5 years</w:t>
            </w:r>
          </w:p>
        </w:tc>
      </w:tr>
    </w:tbl>
    <w:p>
      <w:pPr>
        <w:pStyle w:val="Heading1"/>
        <w:spacing w:before="140" w:after="60"/>
      </w:pPr>
      <w:r>
        <w:rPr>
          <w:color w:val="000000"/>
        </w:rPr>
        <w:t>Issuer One Oil Tilt Baytex Energy</w:t>
      </w:r>
    </w:p>
    <w:p>
      <w:pPr>
        <w:spacing w:after="80" w:line="252" w:lineRule="auto"/>
      </w:pPr>
      <w:r>
        <w:t>Instrument: Baytex Energy 8.500% senior unsecured notes due 30 April 2030. The issue was sold in 2023, pays semi annually, and carries 144A CUSIP 07317Q AJ4. Baytex produced 153,048 boe per day in 2024, with Eagle Ford production averaging 89,100 boe per day. Free cash flow was C$655.6 million in 2024, and net debt declined about 5% year over year.</w:t>
      </w:r>
    </w:p>
    <w:tbl>
      <w:tblPr>
        <w:tblW w:type="auto" w:w="0"/>
        <w:tblLayout w:type="fixed"/>
        <w:tblLook w:firstColumn="1" w:firstRow="1" w:lastColumn="0" w:lastRow="0" w:noHBand="0" w:noVBand="1" w:val="04A0"/>
      </w:tblPr>
      <w:tblGrid>
        <w:gridCol w:w="5227"/>
        <w:gridCol w:w="5227"/>
      </w:tblGrid>
      <w:tr>
        <w:trPr>
          <w:cantSplit/>
          <w:tblHeader/>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1F4E79"/>
          </w:tcPr>
          <w:p>
            <w:pPr>
              <w:spacing w:after="0" w:line="252" w:lineRule="auto"/>
              <w:jc w:val="center"/>
            </w:pPr>
            <w:r>
              <w:rPr>
                <w:rFonts w:ascii="Arial" w:hAnsi="Arial"/>
                <w:b/>
                <w:color w:val="FFFFFF"/>
                <w:sz w:val="16"/>
              </w:rPr>
              <w:t>Topic</w:t>
            </w:r>
          </w:p>
        </w:tc>
        <w:tc>
          <w:tcPr>
            <w:tcW w:type="dxa" w:w="87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1F4E79"/>
          </w:tcPr>
          <w:p>
            <w:pPr>
              <w:spacing w:after="0" w:line="252" w:lineRule="auto"/>
              <w:jc w:val="center"/>
            </w:pPr>
            <w:r>
              <w:rPr>
                <w:rFonts w:ascii="Arial" w:hAnsi="Arial"/>
                <w:b/>
                <w:color w:val="FFFFFF"/>
                <w:sz w:val="16"/>
              </w:rPr>
              <w:t>Assessment</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tcPr>
          <w:p>
            <w:pPr>
              <w:spacing w:after="0" w:line="252" w:lineRule="auto"/>
              <w:jc w:val="center"/>
            </w:pPr>
            <w:r>
              <w:rPr>
                <w:rFonts w:ascii="Arial" w:hAnsi="Arial"/>
                <w:sz w:val="16"/>
              </w:rPr>
              <w:t>Thesis</w:t>
            </w:r>
          </w:p>
        </w:tc>
        <w:tc>
          <w:tcPr>
            <w:tcW w:type="dxa" w:w="87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tcPr>
          <w:p>
            <w:pPr>
              <w:spacing w:after="0" w:line="252" w:lineRule="auto"/>
            </w:pPr>
            <w:r>
              <w:rPr>
                <w:rFonts w:ascii="Arial" w:hAnsi="Arial"/>
                <w:sz w:val="16"/>
              </w:rPr>
              <w:t>High coupon oil weighted carry with 2030 maturity inside the target duration zone.</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F4F7FA"/>
          </w:tcPr>
          <w:p>
            <w:pPr>
              <w:spacing w:after="0" w:line="252" w:lineRule="auto"/>
              <w:jc w:val="center"/>
            </w:pPr>
            <w:r>
              <w:rPr>
                <w:rFonts w:ascii="Arial" w:hAnsi="Arial"/>
                <w:sz w:val="16"/>
              </w:rPr>
              <w:t>Risks</w:t>
            </w:r>
          </w:p>
        </w:tc>
        <w:tc>
          <w:tcPr>
            <w:tcW w:type="dxa" w:w="87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F4F7FA"/>
          </w:tcPr>
          <w:p>
            <w:pPr>
              <w:spacing w:after="0" w:line="252" w:lineRule="auto"/>
            </w:pPr>
            <w:r>
              <w:rPr>
                <w:rFonts w:ascii="Arial" w:hAnsi="Arial"/>
                <w:sz w:val="16"/>
              </w:rPr>
              <w:t>Oil price downside, Canadian heavy oil differentials, unsecured structure, and capital allocation tension between buybacks and debt reduction.</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tcPr>
          <w:p>
            <w:pPr>
              <w:spacing w:after="0" w:line="252" w:lineRule="auto"/>
              <w:jc w:val="center"/>
            </w:pPr>
            <w:r>
              <w:rPr>
                <w:rFonts w:ascii="Arial" w:hAnsi="Arial"/>
                <w:sz w:val="16"/>
              </w:rPr>
              <w:t>Trade</w:t>
            </w:r>
          </w:p>
        </w:tc>
        <w:tc>
          <w:tcPr>
            <w:tcW w:type="dxa" w:w="87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tcPr>
          <w:p>
            <w:pPr>
              <w:spacing w:after="0" w:line="252" w:lineRule="auto"/>
            </w:pPr>
            <w:r>
              <w:rPr>
                <w:rFonts w:ascii="Arial" w:hAnsi="Arial"/>
                <w:sz w:val="16"/>
              </w:rPr>
              <w:t>Buy below 100-101 or above 8% YTW; trim around 104 if Brent spikes toward $80 without a lasting supply outage.</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F4F7FA"/>
          </w:tcPr>
          <w:p>
            <w:pPr>
              <w:spacing w:after="0" w:line="252" w:lineRule="auto"/>
              <w:jc w:val="center"/>
            </w:pPr>
            <w:r>
              <w:rPr>
                <w:rFonts w:ascii="Arial" w:hAnsi="Arial"/>
                <w:sz w:val="16"/>
              </w:rPr>
              <w:t>Sizing</w:t>
            </w:r>
          </w:p>
        </w:tc>
        <w:tc>
          <w:tcPr>
            <w:tcW w:type="dxa" w:w="87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F4F7FA"/>
          </w:tcPr>
          <w:p>
            <w:pPr>
              <w:spacing w:after="0" w:line="252" w:lineRule="auto"/>
            </w:pPr>
            <w:r>
              <w:rPr>
                <w:rFonts w:ascii="Arial" w:hAnsi="Arial"/>
                <w:sz w:val="16"/>
              </w:rPr>
              <w:t>20-25% of the energy sleeve, or roughly $6.0-$7.5 million.</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tcPr>
          <w:p>
            <w:pPr>
              <w:spacing w:after="0" w:line="252" w:lineRule="auto"/>
              <w:jc w:val="center"/>
            </w:pPr>
            <w:r>
              <w:rPr>
                <w:rFonts w:ascii="Arial" w:hAnsi="Arial"/>
                <w:sz w:val="16"/>
              </w:rPr>
              <w:t>Sales angle</w:t>
            </w:r>
          </w:p>
        </w:tc>
        <w:tc>
          <w:tcPr>
            <w:tcW w:type="dxa" w:w="87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tcPr>
          <w:p>
            <w:pPr>
              <w:spacing w:after="0" w:line="252" w:lineRule="auto"/>
            </w:pPr>
            <w:r>
              <w:rPr>
                <w:rFonts w:ascii="Arial" w:hAnsi="Arial"/>
                <w:sz w:val="16"/>
              </w:rPr>
              <w:t>Pitch 8.5% coupon and potential pull to par; use as a high coupon switch out of lower spread oil beta.</w:t>
            </w:r>
          </w:p>
        </w:tc>
      </w:tr>
    </w:tbl>
    <w:p>
      <w:pPr>
        <w:pStyle w:val="Heading1"/>
        <w:spacing w:before="140" w:after="60"/>
      </w:pPr>
      <w:r>
        <w:rPr>
          <w:color w:val="000000"/>
        </w:rPr>
        <w:t>Issuer Two Gas Tilt Comstock Resources</w:t>
      </w:r>
    </w:p>
    <w:p>
      <w:pPr>
        <w:spacing w:after="80" w:line="252" w:lineRule="auto"/>
      </w:pPr>
      <w:r>
        <w:t>Instrument: Comstock Resources 6.750% senior notes due 1 March 2029. Comstock is a Haynesville focused gas producer. Operating cash flow fell to $620.3 million in 2024 from $1.0 billion in 2023, mainly because realized gas prices were lower, making the credit sensitive to the 2025 Henry Hub recovery. The company issued $400 million of new 2029 notes in April 2024 to repay revolver borrowings; public screens show the 2029 bonds near par with S&amp;P B and Moody's B3 ratings.</w:t>
      </w:r>
    </w:p>
    <w:tbl>
      <w:tblPr>
        <w:tblW w:type="auto" w:w="0"/>
        <w:tblLayout w:type="fixed"/>
        <w:tblLook w:firstColumn="1" w:firstRow="1" w:lastColumn="0" w:lastRow="0" w:noHBand="0" w:noVBand="1" w:val="04A0"/>
      </w:tblPr>
      <w:tblGrid>
        <w:gridCol w:w="5227"/>
        <w:gridCol w:w="5227"/>
      </w:tblGrid>
      <w:tr>
        <w:trPr>
          <w:cantSplit/>
          <w:tblHeader/>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1F4E79"/>
          </w:tcPr>
          <w:p>
            <w:pPr>
              <w:spacing w:after="0" w:line="252" w:lineRule="auto"/>
              <w:jc w:val="center"/>
            </w:pPr>
            <w:r>
              <w:rPr>
                <w:rFonts w:ascii="Arial" w:hAnsi="Arial"/>
                <w:b/>
                <w:color w:val="FFFFFF"/>
                <w:sz w:val="16"/>
              </w:rPr>
              <w:t>Topic</w:t>
            </w:r>
          </w:p>
        </w:tc>
        <w:tc>
          <w:tcPr>
            <w:tcW w:type="dxa" w:w="87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1F4E79"/>
          </w:tcPr>
          <w:p>
            <w:pPr>
              <w:spacing w:after="0" w:line="252" w:lineRule="auto"/>
              <w:jc w:val="center"/>
            </w:pPr>
            <w:r>
              <w:rPr>
                <w:rFonts w:ascii="Arial" w:hAnsi="Arial"/>
                <w:b/>
                <w:color w:val="FFFFFF"/>
                <w:sz w:val="16"/>
              </w:rPr>
              <w:t>Assessment</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tcPr>
          <w:p>
            <w:pPr>
              <w:spacing w:after="0" w:line="252" w:lineRule="auto"/>
              <w:jc w:val="center"/>
            </w:pPr>
            <w:r>
              <w:rPr>
                <w:rFonts w:ascii="Arial" w:hAnsi="Arial"/>
                <w:sz w:val="16"/>
              </w:rPr>
              <w:t>Thesis</w:t>
            </w:r>
          </w:p>
        </w:tc>
        <w:tc>
          <w:tcPr>
            <w:tcW w:type="dxa" w:w="87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tcPr>
          <w:p>
            <w:pPr>
              <w:spacing w:after="0" w:line="252" w:lineRule="auto"/>
            </w:pPr>
            <w:r>
              <w:rPr>
                <w:rFonts w:ascii="Arial" w:hAnsi="Arial"/>
                <w:sz w:val="16"/>
              </w:rPr>
              <w:t>Direct exposure to higher Henry Hub, LNG demand, and low cost Haynesville inventory.</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F4F7FA"/>
          </w:tcPr>
          <w:p>
            <w:pPr>
              <w:spacing w:after="0" w:line="252" w:lineRule="auto"/>
              <w:jc w:val="center"/>
            </w:pPr>
            <w:r>
              <w:rPr>
                <w:rFonts w:ascii="Arial" w:hAnsi="Arial"/>
                <w:sz w:val="16"/>
              </w:rPr>
              <w:t>Risks</w:t>
            </w:r>
          </w:p>
        </w:tc>
        <w:tc>
          <w:tcPr>
            <w:tcW w:type="dxa" w:w="87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F4F7FA"/>
          </w:tcPr>
          <w:p>
            <w:pPr>
              <w:spacing w:after="0" w:line="252" w:lineRule="auto"/>
            </w:pPr>
            <w:r>
              <w:rPr>
                <w:rFonts w:ascii="Arial" w:hAnsi="Arial"/>
                <w:sz w:val="16"/>
              </w:rPr>
              <w:t>High debt load, 2027 revolver maturity, drilling capital needs, and renewed pressure if gas returns below $3.25.</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tcPr>
          <w:p>
            <w:pPr>
              <w:spacing w:after="0" w:line="252" w:lineRule="auto"/>
              <w:jc w:val="center"/>
            </w:pPr>
            <w:r>
              <w:rPr>
                <w:rFonts w:ascii="Arial" w:hAnsi="Arial"/>
                <w:sz w:val="16"/>
              </w:rPr>
              <w:t>Trade</w:t>
            </w:r>
          </w:p>
        </w:tc>
        <w:tc>
          <w:tcPr>
            <w:tcW w:type="dxa" w:w="87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tcPr>
          <w:p>
            <w:pPr>
              <w:spacing w:after="0" w:line="252" w:lineRule="auto"/>
            </w:pPr>
            <w:r>
              <w:rPr>
                <w:rFonts w:ascii="Arial" w:hAnsi="Arial"/>
                <w:sz w:val="16"/>
              </w:rPr>
              <w:t>Prefer the 2029s over the 2030s; add around 98-100, reduce if YTW falls below 6% without further gas strength.</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F4F7FA"/>
          </w:tcPr>
          <w:p>
            <w:pPr>
              <w:spacing w:after="0" w:line="252" w:lineRule="auto"/>
              <w:jc w:val="center"/>
            </w:pPr>
            <w:r>
              <w:rPr>
                <w:rFonts w:ascii="Arial" w:hAnsi="Arial"/>
                <w:sz w:val="16"/>
              </w:rPr>
              <w:t>Sizing</w:t>
            </w:r>
          </w:p>
        </w:tc>
        <w:tc>
          <w:tcPr>
            <w:tcW w:type="dxa" w:w="87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F4F7FA"/>
          </w:tcPr>
          <w:p>
            <w:pPr>
              <w:spacing w:after="0" w:line="252" w:lineRule="auto"/>
            </w:pPr>
            <w:r>
              <w:rPr>
                <w:rFonts w:ascii="Arial" w:hAnsi="Arial"/>
                <w:sz w:val="16"/>
              </w:rPr>
              <w:t>15-20% of the energy sleeve, or roughly $4.5-$6.0 million.</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tcPr>
          <w:p>
            <w:pPr>
              <w:spacing w:after="0" w:line="252" w:lineRule="auto"/>
              <w:jc w:val="center"/>
            </w:pPr>
            <w:r>
              <w:rPr>
                <w:rFonts w:ascii="Arial" w:hAnsi="Arial"/>
                <w:sz w:val="16"/>
              </w:rPr>
              <w:t>Sales angle</w:t>
            </w:r>
          </w:p>
        </w:tc>
        <w:tc>
          <w:tcPr>
            <w:tcW w:type="dxa" w:w="87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tcPr>
          <w:p>
            <w:pPr>
              <w:spacing w:after="0" w:line="252" w:lineRule="auto"/>
            </w:pPr>
            <w:r>
              <w:rPr>
                <w:rFonts w:ascii="Arial" w:hAnsi="Arial"/>
                <w:sz w:val="16"/>
              </w:rPr>
              <w:t>Market as short duration natural gas recovery carry for accounts that can own B/B3 risk.</w:t>
            </w:r>
          </w:p>
        </w:tc>
      </w:tr>
    </w:tbl>
    <w:p>
      <w:pPr>
        <w:pStyle w:val="Heading1"/>
        <w:spacing w:before="140" w:after="60"/>
      </w:pPr>
      <w:r>
        <w:rPr>
          <w:color w:val="000000"/>
        </w:rPr>
        <w:t>Trading and Sales Plan</w:t>
      </w:r>
    </w:p>
    <w:tbl>
      <w:tblPr>
        <w:tblW w:type="auto" w:w="0"/>
        <w:tblLayout w:type="fixed"/>
        <w:tblLook w:firstColumn="1" w:firstRow="1" w:lastColumn="0" w:lastRow="0" w:noHBand="0" w:noVBand="1" w:val="04A0"/>
      </w:tblPr>
      <w:tblGrid>
        <w:gridCol w:w="2613"/>
        <w:gridCol w:w="2613"/>
        <w:gridCol w:w="2613"/>
        <w:gridCol w:w="2613"/>
      </w:tblGrid>
      <w:tr>
        <w:trPr>
          <w:cantSplit/>
          <w:tblHeader/>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1F4E79"/>
          </w:tcPr>
          <w:p>
            <w:pPr>
              <w:spacing w:after="0" w:line="252" w:lineRule="auto"/>
              <w:jc w:val="center"/>
            </w:pPr>
            <w:r>
              <w:rPr>
                <w:rFonts w:ascii="Arial" w:hAnsi="Arial"/>
                <w:b/>
                <w:color w:val="FFFFFF"/>
                <w:sz w:val="16"/>
              </w:rPr>
              <w:t>Strategy</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1F4E79"/>
          </w:tcPr>
          <w:p>
            <w:pPr>
              <w:spacing w:after="0" w:line="252" w:lineRule="auto"/>
              <w:jc w:val="center"/>
            </w:pPr>
            <w:r>
              <w:rPr>
                <w:rFonts w:ascii="Arial" w:hAnsi="Arial"/>
                <w:b/>
                <w:color w:val="FFFFFF"/>
                <w:sz w:val="16"/>
              </w:rPr>
              <w:t>Execution</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1F4E79"/>
          </w:tcPr>
          <w:p>
            <w:pPr>
              <w:spacing w:after="0" w:line="252" w:lineRule="auto"/>
              <w:jc w:val="center"/>
            </w:pPr>
            <w:r>
              <w:rPr>
                <w:rFonts w:ascii="Arial" w:hAnsi="Arial"/>
                <w:b/>
                <w:color w:val="FFFFFF"/>
                <w:sz w:val="16"/>
              </w:rPr>
              <w:t>Return source</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1F4E79"/>
          </w:tcPr>
          <w:p>
            <w:pPr>
              <w:spacing w:after="0" w:line="252" w:lineRule="auto"/>
              <w:jc w:val="center"/>
            </w:pPr>
            <w:r>
              <w:rPr>
                <w:rFonts w:ascii="Arial" w:hAnsi="Arial"/>
                <w:b/>
                <w:color w:val="FFFFFF"/>
                <w:sz w:val="16"/>
              </w:rPr>
              <w:t>Risk trigger</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tcPr>
          <w:p>
            <w:pPr>
              <w:spacing w:after="0" w:line="252" w:lineRule="auto"/>
              <w:jc w:val="center"/>
            </w:pPr>
            <w:r>
              <w:rPr>
                <w:rFonts w:ascii="Arial" w:hAnsi="Arial"/>
                <w:sz w:val="16"/>
              </w:rPr>
              <w:t>Range trading</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tcPr>
          <w:p>
            <w:pPr>
              <w:spacing w:after="0" w:line="252" w:lineRule="auto"/>
            </w:pPr>
            <w:r>
              <w:rPr>
                <w:rFonts w:ascii="Arial" w:hAnsi="Arial"/>
                <w:sz w:val="16"/>
              </w:rPr>
              <w:t>Buy stronger oil credits near Brent $65-$70; sell weak oil beta near $75-$80</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tcPr>
          <w:p>
            <w:pPr>
              <w:spacing w:after="0" w:line="252" w:lineRule="auto"/>
            </w:pPr>
            <w:r>
              <w:rPr>
                <w:rFonts w:ascii="Arial" w:hAnsi="Arial"/>
                <w:sz w:val="16"/>
              </w:rPr>
              <w:t>Coupon, spread mean reversion, and customer flow</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tcPr>
          <w:p>
            <w:pPr>
              <w:spacing w:after="0" w:line="252" w:lineRule="auto"/>
            </w:pPr>
            <w:r>
              <w:rPr>
                <w:rFonts w:ascii="Arial" w:hAnsi="Arial"/>
                <w:sz w:val="16"/>
              </w:rPr>
              <w:t>Brent below $60 or HY OAS +100bp in one week</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F4F7FA"/>
          </w:tcPr>
          <w:p>
            <w:pPr>
              <w:spacing w:after="0" w:line="252" w:lineRule="auto"/>
            </w:pPr>
            <w:r>
              <w:rPr>
                <w:rFonts w:ascii="Arial" w:hAnsi="Arial"/>
                <w:sz w:val="16"/>
              </w:rPr>
              <w:t>Gas relative value</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F4F7FA"/>
          </w:tcPr>
          <w:p>
            <w:pPr>
              <w:spacing w:after="0" w:line="252" w:lineRule="auto"/>
            </w:pPr>
            <w:r>
              <w:rPr>
                <w:rFonts w:ascii="Arial" w:hAnsi="Arial"/>
                <w:sz w:val="16"/>
              </w:rPr>
              <w:t>Long selected gas producers versus high cost oil service or overowned oil beta</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F4F7FA"/>
          </w:tcPr>
          <w:p>
            <w:pPr>
              <w:spacing w:after="0" w:line="252" w:lineRule="auto"/>
            </w:pPr>
            <w:r>
              <w:rPr>
                <w:rFonts w:ascii="Arial" w:hAnsi="Arial"/>
                <w:sz w:val="16"/>
              </w:rPr>
              <w:t>Henry Hub recovery and lower inventories</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F4F7FA"/>
          </w:tcPr>
          <w:p>
            <w:pPr>
              <w:spacing w:after="0" w:line="252" w:lineRule="auto"/>
            </w:pPr>
            <w:r>
              <w:rPr>
                <w:rFonts w:ascii="Arial" w:hAnsi="Arial"/>
                <w:sz w:val="16"/>
              </w:rPr>
              <w:t>HH below $3.25 with lower forwards</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tcPr>
          <w:p>
            <w:pPr>
              <w:spacing w:after="0" w:line="252" w:lineRule="auto"/>
            </w:pPr>
            <w:r>
              <w:rPr>
                <w:rFonts w:ascii="Arial" w:hAnsi="Arial"/>
                <w:sz w:val="16"/>
              </w:rPr>
              <w:t>New issue prefunding</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tcPr>
          <w:p>
            <w:pPr>
              <w:spacing w:after="0" w:line="252" w:lineRule="auto"/>
            </w:pPr>
            <w:r>
              <w:rPr>
                <w:rFonts w:ascii="Arial" w:hAnsi="Arial"/>
                <w:sz w:val="16"/>
              </w:rPr>
              <w:t>Push 2026-2027 maturity issuers to finance early in H1</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tcPr>
          <w:p>
            <w:pPr>
              <w:spacing w:after="0" w:line="252" w:lineRule="auto"/>
            </w:pPr>
            <w:r>
              <w:rPr>
                <w:rFonts w:ascii="Arial" w:hAnsi="Arial"/>
                <w:sz w:val="16"/>
              </w:rPr>
              <w:t>Underwriting economics and secondary allocation</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tcPr>
          <w:p>
            <w:pPr>
              <w:spacing w:after="0" w:line="252" w:lineRule="auto"/>
            </w:pPr>
            <w:r>
              <w:rPr>
                <w:rFonts w:ascii="Arial" w:hAnsi="Arial"/>
                <w:sz w:val="16"/>
              </w:rPr>
              <w:t>New issue concession too small for refinancing risk</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F4F7FA"/>
          </w:tcPr>
          <w:p>
            <w:pPr>
              <w:spacing w:after="0" w:line="252" w:lineRule="auto"/>
            </w:pPr>
            <w:r>
              <w:rPr>
                <w:rFonts w:ascii="Arial" w:hAnsi="Arial"/>
                <w:sz w:val="16"/>
              </w:rPr>
              <w:t>Client switches</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F4F7FA"/>
          </w:tcPr>
          <w:p>
            <w:pPr>
              <w:spacing w:after="0" w:line="252" w:lineRule="auto"/>
            </w:pPr>
            <w:r>
              <w:rPr>
                <w:rFonts w:ascii="Arial" w:hAnsi="Arial"/>
                <w:sz w:val="16"/>
              </w:rPr>
              <w:t>Move conservative accounts into IG midstream; place HY carry with total return buyers</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F4F7FA"/>
          </w:tcPr>
          <w:p>
            <w:pPr>
              <w:spacing w:after="0" w:line="252" w:lineRule="auto"/>
            </w:pPr>
            <w:r>
              <w:rPr>
                <w:rFonts w:ascii="Arial" w:hAnsi="Arial"/>
                <w:sz w:val="16"/>
              </w:rPr>
              <w:t>Bid offer, inventory turn, and cross sales</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F4F7FA"/>
          </w:tcPr>
          <w:p>
            <w:pPr>
              <w:spacing w:after="0" w:line="252" w:lineRule="auto"/>
            </w:pPr>
            <w:r>
              <w:rPr>
                <w:rFonts w:ascii="Arial" w:hAnsi="Arial"/>
                <w:sz w:val="16"/>
              </w:rPr>
              <w:t>Crowded single issuer positioning</w:t>
            </w:r>
          </w:p>
        </w:tc>
      </w:tr>
      <w:tr>
        <w:trPr>
          <w:cantSplit/>
        </w:trPr>
        <w:tc>
          <w:tcPr>
            <w:tcW w:type="dxa" w:w="15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tcPr>
          <w:p>
            <w:pPr>
              <w:spacing w:after="0" w:line="252" w:lineRule="auto"/>
              <w:jc w:val="center"/>
            </w:pPr>
            <w:r>
              <w:rPr>
                <w:rFonts w:ascii="Arial" w:hAnsi="Arial"/>
                <w:sz w:val="16"/>
              </w:rPr>
              <w:t>Hedging</w:t>
            </w:r>
          </w:p>
        </w:tc>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tcPr>
          <w:p>
            <w:pPr>
              <w:spacing w:after="0" w:line="252" w:lineRule="auto"/>
            </w:pPr>
            <w:r>
              <w:rPr>
                <w:rFonts w:ascii="Arial" w:hAnsi="Arial"/>
                <w:sz w:val="16"/>
              </w:rPr>
              <w:t>Use CDX HY or rate futures for beta and duration; use oil and gas options where mandate allows</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tcPr>
          <w:p>
            <w:pPr>
              <w:spacing w:after="0" w:line="252" w:lineRule="auto"/>
            </w:pPr>
            <w:r>
              <w:rPr>
                <w:rFonts w:ascii="Arial" w:hAnsi="Arial"/>
                <w:sz w:val="16"/>
              </w:rPr>
              <w:t>Lower tail risk while keeping carry</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tcPr>
          <w:p>
            <w:pPr>
              <w:spacing w:after="0" w:line="252" w:lineRule="auto"/>
            </w:pPr>
            <w:r>
              <w:rPr>
                <w:rFonts w:ascii="Arial" w:hAnsi="Arial"/>
                <w:sz w:val="16"/>
              </w:rPr>
              <w:t>Hedge cost above 25% of expected carry</w:t>
            </w:r>
          </w:p>
        </w:tc>
      </w:tr>
    </w:tbl>
    <w:p>
      <w:pPr>
        <w:spacing w:after="80" w:line="252" w:lineRule="auto"/>
      </w:pPr>
      <w:r>
        <w:t>Five year return frame: on a $30 million sleeve with 7.0% starting cash yield, 0.75% annual credit loss, and 0.5% annual roll down or price return, the base case produces about $10.7 million of absolute dollar return. Bull case return is about $13.5 million; bear case return is about $4.2 million. This is a risk budgeting estimate, not a formal valuation.</w:t>
      </w:r>
    </w:p>
    <w:p>
      <w:pPr>
        <w:pStyle w:val="Heading1"/>
        <w:spacing w:before="140" w:after="60"/>
      </w:pPr>
      <w:r>
        <w:rPr>
          <w:color w:val="000000"/>
        </w:rPr>
        <w:t>Execution Checklist</w:t>
      </w:r>
    </w:p>
    <w:p>
      <w:pPr>
        <w:pStyle w:val="ListBullet"/>
        <w:spacing w:after="30"/>
      </w:pPr>
      <w:r>
        <w:t>Daily: monitor Brent, WTI, Henry Hub, 2s10s, CDX HY, energy HY OAS, and TRACE prints for Baytex and Comstock.</w:t>
      </w:r>
    </w:p>
    <w:p>
      <w:pPr>
        <w:pStyle w:val="ListBullet"/>
        <w:spacing w:after="30"/>
      </w:pPr>
      <w:r>
        <w:t>Weekly: rerun issuer cash flow stress cases at Brent $60/$70/$80 and Henry Hub $3.25/$4.00/$4.75.</w:t>
      </w:r>
    </w:p>
    <w:p>
      <w:pPr>
        <w:pStyle w:val="ListBullet"/>
        <w:spacing w:after="30"/>
      </w:pPr>
      <w:r>
        <w:t>Monthly: review issuer, sector, rating, HY cap, and duration limits; HY energy duration must remain 3-5 years.</w:t>
      </w:r>
    </w:p>
    <w:p>
      <w:pPr>
        <w:pStyle w:val="ListBullet"/>
        <w:spacing w:after="30"/>
      </w:pPr>
      <w:r>
        <w:t>Event driven: publish same day desk updates after Middle East supply events, OPEC+ changes, LNG outages, tariff policy changes, or rating actions.</w:t>
      </w:r>
    </w:p>
    <w:p>
      <w:pPr>
        <w:pStyle w:val="Heading1"/>
        <w:spacing w:before="140" w:after="60"/>
      </w:pPr>
      <w:r>
        <w:rPr>
          <w:color w:val="000000"/>
        </w:rPr>
        <w:t>Appendix Public Sources</w:t>
      </w:r>
    </w:p>
    <w:tbl>
      <w:tblPr>
        <w:tblW w:type="auto" w:w="0"/>
        <w:tblLayout w:type="fixed"/>
        <w:tblLook w:firstColumn="1" w:firstRow="1" w:lastColumn="0" w:lastRow="0" w:noHBand="0" w:noVBand="1" w:val="04A0"/>
      </w:tblPr>
      <w:tblGrid>
        <w:gridCol w:w="3485"/>
        <w:gridCol w:w="3485"/>
        <w:gridCol w:w="3485"/>
      </w:tblGrid>
      <w:tr>
        <w:trPr>
          <w:cantSplit/>
          <w:tblHeader/>
        </w:trP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1F4E79"/>
          </w:tcPr>
          <w:p>
            <w:pPr>
              <w:spacing w:after="0" w:line="252" w:lineRule="auto"/>
              <w:jc w:val="center"/>
            </w:pPr>
            <w:r>
              <w:rPr>
                <w:rFonts w:ascii="Arial" w:hAnsi="Arial"/>
                <w:b/>
                <w:color w:val="FFFFFF"/>
                <w:sz w:val="16"/>
              </w:rPr>
              <w:t>No.</w:t>
            </w:r>
          </w:p>
        </w:tc>
        <w:tc>
          <w:tcPr>
            <w:tcW w:type="dxa" w:w="33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1F4E79"/>
          </w:tcPr>
          <w:p>
            <w:pPr>
              <w:spacing w:after="0" w:line="252" w:lineRule="auto"/>
              <w:jc w:val="center"/>
            </w:pPr>
            <w:r>
              <w:rPr>
                <w:rFonts w:ascii="Arial" w:hAnsi="Arial"/>
                <w:b/>
                <w:color w:val="FFFFFF"/>
                <w:sz w:val="16"/>
              </w:rPr>
              <w:t>Source</w:t>
            </w:r>
          </w:p>
        </w:tc>
        <w:tc>
          <w:tcPr>
            <w:tcW w:type="dxa" w:w="64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1F4E79"/>
          </w:tcPr>
          <w:p>
            <w:pPr>
              <w:spacing w:after="0" w:line="252" w:lineRule="auto"/>
              <w:jc w:val="center"/>
            </w:pPr>
            <w:r>
              <w:rPr>
                <w:rFonts w:ascii="Arial" w:hAnsi="Arial"/>
                <w:b/>
                <w:color w:val="FFFFFF"/>
                <w:sz w:val="16"/>
              </w:rPr>
              <w:t>Data used</w:t>
            </w:r>
          </w:p>
        </w:tc>
      </w:tr>
      <w:tr>
        <w:trPr>
          <w:cantSplit/>
        </w:trP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tcPr>
          <w:p>
            <w:pPr>
              <w:spacing w:after="0" w:line="252" w:lineRule="auto"/>
              <w:jc w:val="center"/>
            </w:pPr>
            <w:r>
              <w:rPr>
                <w:rFonts w:ascii="Arial" w:hAnsi="Arial"/>
                <w:sz w:val="16"/>
              </w:rPr>
              <w:t>1</w:t>
            </w:r>
          </w:p>
        </w:tc>
        <w:tc>
          <w:tcPr>
            <w:tcW w:type="dxa" w:w="33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tcPr>
          <w:p>
            <w:pPr>
              <w:spacing w:after="0" w:line="252" w:lineRule="auto"/>
            </w:pPr>
            <w:r>
              <w:rPr>
                <w:rFonts w:ascii="Arial" w:hAnsi="Arial"/>
                <w:sz w:val="16"/>
              </w:rPr>
              <w:t>Attached Research Material source list</w:t>
            </w:r>
          </w:p>
        </w:tc>
        <w:tc>
          <w:tcPr>
            <w:tcW w:type="dxa" w:w="64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tcPr>
          <w:p>
            <w:pPr>
              <w:spacing w:after="0" w:line="252" w:lineRule="auto"/>
            </w:pPr>
            <w:r>
              <w:rPr>
                <w:rFonts w:ascii="Arial" w:hAnsi="Arial"/>
                <w:sz w:val="16"/>
              </w:rPr>
              <w:t>Permitted public sources: EIA, World Bank, S&amp;P Global Ratings, PIMCO, ICE, Janus Henderson, Morgan Stanley, Moody's and public market data.</w:t>
            </w:r>
          </w:p>
        </w:tc>
      </w:tr>
      <w:tr>
        <w:trPr>
          <w:cantSplit/>
        </w:trP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F4F7FA"/>
          </w:tcPr>
          <w:p>
            <w:pPr>
              <w:spacing w:after="0" w:line="252" w:lineRule="auto"/>
              <w:jc w:val="center"/>
            </w:pPr>
            <w:r>
              <w:rPr>
                <w:rFonts w:ascii="Arial" w:hAnsi="Arial"/>
                <w:sz w:val="16"/>
              </w:rPr>
              <w:t>2</w:t>
            </w:r>
          </w:p>
        </w:tc>
        <w:tc>
          <w:tcPr>
            <w:tcW w:type="dxa" w:w="33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F4F7FA"/>
          </w:tcPr>
          <w:p>
            <w:pPr>
              <w:spacing w:after="0" w:line="252" w:lineRule="auto"/>
            </w:pPr>
            <w:r>
              <w:rPr>
                <w:rFonts w:ascii="Arial" w:hAnsi="Arial"/>
                <w:sz w:val="16"/>
              </w:rPr>
              <w:t>EIA March 2025 STEO press release</w:t>
            </w:r>
          </w:p>
        </w:tc>
        <w:tc>
          <w:tcPr>
            <w:tcW w:type="dxa" w:w="64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F4F7FA"/>
          </w:tcPr>
          <w:p>
            <w:pPr>
              <w:spacing w:after="0" w:line="252" w:lineRule="auto"/>
            </w:pPr>
            <w:r>
              <w:rPr>
                <w:rFonts w:ascii="Arial" w:hAnsi="Arial"/>
                <w:sz w:val="16"/>
              </w:rPr>
              <w:t>Brent 2025/2026 at $74/$68; Henry Hub 2025/2026 at $4.20/$4.50; LNG exports at 14 Bcf/d in 2025.</w:t>
            </w:r>
          </w:p>
        </w:tc>
      </w:tr>
      <w:tr>
        <w:trPr>
          <w:cantSplit/>
        </w:trP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tcPr>
          <w:p>
            <w:pPr>
              <w:spacing w:after="0" w:line="252" w:lineRule="auto"/>
              <w:jc w:val="center"/>
            </w:pPr>
            <w:r>
              <w:rPr>
                <w:rFonts w:ascii="Arial" w:hAnsi="Arial"/>
                <w:sz w:val="16"/>
              </w:rPr>
              <w:t>3</w:t>
            </w:r>
          </w:p>
        </w:tc>
        <w:tc>
          <w:tcPr>
            <w:tcW w:type="dxa" w:w="33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tcPr>
          <w:p>
            <w:pPr>
              <w:spacing w:after="0" w:line="252" w:lineRule="auto"/>
            </w:pPr>
            <w:r>
              <w:rPr>
                <w:rFonts w:ascii="Arial" w:hAnsi="Arial"/>
                <w:sz w:val="16"/>
              </w:rPr>
              <w:t>EIA Today in Energy, 6 Aug 2025</w:t>
            </w:r>
          </w:p>
        </w:tc>
        <w:tc>
          <w:tcPr>
            <w:tcW w:type="dxa" w:w="64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tcPr>
          <w:p>
            <w:pPr>
              <w:spacing w:after="0" w:line="252" w:lineRule="auto"/>
            </w:pPr>
            <w:r>
              <w:rPr>
                <w:rFonts w:ascii="Arial" w:hAnsi="Arial"/>
                <w:sz w:val="16"/>
              </w:rPr>
              <w:t>Q2 2025 Brent path from $75 to $64, June 12-19 jump from $69 to $79, quarter end near $68.</w:t>
            </w:r>
          </w:p>
        </w:tc>
      </w:tr>
      <w:tr>
        <w:trPr>
          <w:cantSplit/>
        </w:trP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F4F7FA"/>
          </w:tcPr>
          <w:p>
            <w:pPr>
              <w:spacing w:after="0" w:line="252" w:lineRule="auto"/>
              <w:jc w:val="center"/>
            </w:pPr>
            <w:r>
              <w:rPr>
                <w:rFonts w:ascii="Arial" w:hAnsi="Arial"/>
                <w:sz w:val="16"/>
              </w:rPr>
              <w:t>4</w:t>
            </w:r>
          </w:p>
        </w:tc>
        <w:tc>
          <w:tcPr>
            <w:tcW w:type="dxa" w:w="33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F4F7FA"/>
          </w:tcPr>
          <w:p>
            <w:pPr>
              <w:spacing w:after="0" w:line="252" w:lineRule="auto"/>
            </w:pPr>
            <w:r>
              <w:rPr>
                <w:rFonts w:ascii="Arial" w:hAnsi="Arial"/>
                <w:sz w:val="16"/>
              </w:rPr>
              <w:t>World Bank Commodity Markets Outlook Oct 2024 and Apr 2025</w:t>
            </w:r>
          </w:p>
        </w:tc>
        <w:tc>
          <w:tcPr>
            <w:tcW w:type="dxa" w:w="64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F4F7FA"/>
          </w:tcPr>
          <w:p>
            <w:pPr>
              <w:spacing w:after="0" w:line="252" w:lineRule="auto"/>
            </w:pPr>
            <w:r>
              <w:rPr>
                <w:rFonts w:ascii="Arial" w:hAnsi="Arial"/>
                <w:sz w:val="16"/>
              </w:rPr>
              <w:t>Oil surplus, OPEC+ spare capacity, lower 2025 energy price baseline.</w:t>
            </w:r>
          </w:p>
        </w:tc>
      </w:tr>
      <w:tr>
        <w:trPr>
          <w:cantSplit/>
        </w:trP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tcPr>
          <w:p>
            <w:pPr>
              <w:spacing w:after="0" w:line="252" w:lineRule="auto"/>
              <w:jc w:val="center"/>
            </w:pPr>
            <w:r>
              <w:rPr>
                <w:rFonts w:ascii="Arial" w:hAnsi="Arial"/>
                <w:sz w:val="16"/>
              </w:rPr>
              <w:t>5</w:t>
            </w:r>
          </w:p>
        </w:tc>
        <w:tc>
          <w:tcPr>
            <w:tcW w:type="dxa" w:w="33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tcPr>
          <w:p>
            <w:pPr>
              <w:spacing w:after="0" w:line="252" w:lineRule="auto"/>
            </w:pPr>
            <w:r>
              <w:rPr>
                <w:rFonts w:ascii="Arial" w:hAnsi="Arial"/>
                <w:sz w:val="16"/>
              </w:rPr>
              <w:t>S&amp;P Global Ratings price deck update, Apr 2025</w:t>
            </w:r>
          </w:p>
        </w:tc>
        <w:tc>
          <w:tcPr>
            <w:tcW w:type="dxa" w:w="64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tcPr>
          <w:p>
            <w:pPr>
              <w:spacing w:after="0" w:line="252" w:lineRule="auto"/>
            </w:pPr>
            <w:r>
              <w:rPr>
                <w:rFonts w:ascii="Arial" w:hAnsi="Arial"/>
                <w:sz w:val="16"/>
              </w:rPr>
              <w:t>Remainder 2025 Brent and WTI assumptions lowered to $65/$60; Henry Hub assumptions unchanged.</w:t>
            </w:r>
          </w:p>
        </w:tc>
      </w:tr>
      <w:tr>
        <w:trPr>
          <w:cantSplit/>
        </w:trP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F4F7FA"/>
          </w:tcPr>
          <w:p>
            <w:pPr>
              <w:spacing w:after="0" w:line="252" w:lineRule="auto"/>
              <w:jc w:val="center"/>
            </w:pPr>
            <w:r>
              <w:rPr>
                <w:rFonts w:ascii="Arial" w:hAnsi="Arial"/>
                <w:sz w:val="16"/>
              </w:rPr>
              <w:t>6</w:t>
            </w:r>
          </w:p>
        </w:tc>
        <w:tc>
          <w:tcPr>
            <w:tcW w:type="dxa" w:w="33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F4F7FA"/>
          </w:tcPr>
          <w:p>
            <w:pPr>
              <w:spacing w:after="0" w:line="252" w:lineRule="auto"/>
            </w:pPr>
            <w:r>
              <w:rPr>
                <w:rFonts w:ascii="Arial" w:hAnsi="Arial"/>
                <w:sz w:val="16"/>
              </w:rPr>
              <w:t>Janus Henderson HY outlook 2025</w:t>
            </w:r>
          </w:p>
        </w:tc>
        <w:tc>
          <w:tcPr>
            <w:tcW w:type="dxa" w:w="64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F4F7FA"/>
          </w:tcPr>
          <w:p>
            <w:pPr>
              <w:spacing w:after="0" w:line="252" w:lineRule="auto"/>
            </w:pPr>
            <w:r>
              <w:rPr>
                <w:rFonts w:ascii="Arial" w:hAnsi="Arial"/>
                <w:sz w:val="16"/>
              </w:rPr>
              <w:t>US HY YTW around 7.2%, average HY price around 96, and returns driven more by income than spread compression.</w:t>
            </w:r>
          </w:p>
        </w:tc>
      </w:tr>
      <w:tr>
        <w:trPr>
          <w:cantSplit/>
        </w:trP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tcPr>
          <w:p>
            <w:pPr>
              <w:spacing w:after="0" w:line="252" w:lineRule="auto"/>
              <w:jc w:val="center"/>
            </w:pPr>
            <w:r>
              <w:rPr>
                <w:rFonts w:ascii="Arial" w:hAnsi="Arial"/>
                <w:sz w:val="16"/>
              </w:rPr>
              <w:t>7</w:t>
            </w:r>
          </w:p>
        </w:tc>
        <w:tc>
          <w:tcPr>
            <w:tcW w:type="dxa" w:w="33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tcPr>
          <w:p>
            <w:pPr>
              <w:spacing w:after="0" w:line="252" w:lineRule="auto"/>
            </w:pPr>
            <w:r>
              <w:rPr>
                <w:rFonts w:ascii="Arial" w:hAnsi="Arial"/>
                <w:sz w:val="16"/>
              </w:rPr>
              <w:t>Morgan Stanley Fixed Income Outlook 2025</w:t>
            </w:r>
          </w:p>
        </w:tc>
        <w:tc>
          <w:tcPr>
            <w:tcW w:type="dxa" w:w="64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tcPr>
          <w:p>
            <w:pPr>
              <w:spacing w:after="0" w:line="252" w:lineRule="auto"/>
            </w:pPr>
            <w:r>
              <w:rPr>
                <w:rFonts w:ascii="Arial" w:hAnsi="Arial"/>
                <w:sz w:val="16"/>
              </w:rPr>
              <w:t>Selectivity in corporate credit; high quality bonds preferred, with selected HY opportunities.</w:t>
            </w:r>
          </w:p>
        </w:tc>
      </w:tr>
      <w:tr>
        <w:trPr>
          <w:cantSplit/>
        </w:trP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F4F7FA"/>
          </w:tcPr>
          <w:p>
            <w:pPr>
              <w:spacing w:after="0" w:line="252" w:lineRule="auto"/>
              <w:jc w:val="center"/>
            </w:pPr>
            <w:r>
              <w:rPr>
                <w:rFonts w:ascii="Arial" w:hAnsi="Arial"/>
                <w:sz w:val="16"/>
              </w:rPr>
              <w:t>8</w:t>
            </w:r>
          </w:p>
        </w:tc>
        <w:tc>
          <w:tcPr>
            <w:tcW w:type="dxa" w:w="33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F4F7FA"/>
          </w:tcPr>
          <w:p>
            <w:pPr>
              <w:spacing w:after="0" w:line="252" w:lineRule="auto"/>
            </w:pPr>
            <w:r>
              <w:rPr>
                <w:rFonts w:ascii="Arial" w:hAnsi="Arial"/>
                <w:sz w:val="16"/>
              </w:rPr>
              <w:t>Baytex 2024 SEC filings and 2030 note indenture</w:t>
            </w:r>
          </w:p>
        </w:tc>
        <w:tc>
          <w:tcPr>
            <w:tcW w:type="dxa" w:w="64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shd w:fill="F4F7FA"/>
          </w:tcPr>
          <w:p>
            <w:pPr>
              <w:spacing w:after="0" w:line="252" w:lineRule="auto"/>
            </w:pPr>
            <w:r>
              <w:rPr>
                <w:rFonts w:ascii="Arial" w:hAnsi="Arial"/>
                <w:sz w:val="16"/>
              </w:rPr>
              <w:t>Production, free cash flow, net debt, CUSIP, coupon, maturity, and call context.</w:t>
            </w:r>
          </w:p>
        </w:tc>
      </w:tr>
      <w:tr>
        <w:trPr>
          <w:cantSplit/>
        </w:trP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tcPr>
          <w:p>
            <w:pPr>
              <w:spacing w:after="0" w:line="252" w:lineRule="auto"/>
              <w:jc w:val="center"/>
            </w:pPr>
            <w:r>
              <w:rPr>
                <w:rFonts w:ascii="Arial" w:hAnsi="Arial"/>
                <w:sz w:val="16"/>
              </w:rPr>
              <w:t>9</w:t>
            </w:r>
          </w:p>
        </w:tc>
        <w:tc>
          <w:tcPr>
            <w:tcW w:type="dxa" w:w="33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tcPr>
          <w:p>
            <w:pPr>
              <w:spacing w:after="0" w:line="252" w:lineRule="auto"/>
            </w:pPr>
            <w:r>
              <w:rPr>
                <w:rFonts w:ascii="Arial" w:hAnsi="Arial"/>
                <w:sz w:val="16"/>
              </w:rPr>
              <w:t>Comstock 2024 Form 10-K and public bond screens</w:t>
            </w:r>
          </w:p>
        </w:tc>
        <w:tc>
          <w:tcPr>
            <w:tcW w:type="dxa" w:w="64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vAlign w:val="center"/>
          </w:tcPr>
          <w:p>
            <w:pPr>
              <w:spacing w:after="0" w:line="252" w:lineRule="auto"/>
            </w:pPr>
            <w:r>
              <w:rPr>
                <w:rFonts w:ascii="Arial" w:hAnsi="Arial"/>
                <w:sz w:val="16"/>
              </w:rPr>
              <w:t>Operating cash flow, 2029 and 2030 notes outstanding, ratings, price and YTW references.</w:t>
            </w:r>
          </w:p>
        </w:tc>
      </w:tr>
    </w:tbl>
    <w:p/>
    <w:p>
      <w:pPr>
        <w:jc w:val="center"/>
      </w:pPr>
      <w:r>
        <w:rPr>
          <w:i/>
          <w:sz w:val="16"/>
        </w:rPr>
        <w:t>Internal trading and sales strategy memo | H1 2025</w:t>
      </w:r>
    </w:p>
    <w:sectPr w:rsidR="00FC693F" w:rsidRPr="0006063C" w:rsidSect="00034616">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52" w:lineRule="auto"/>
    </w:pPr>
    <w:rPr>
      <w:rFonts w:ascii="Arial" w:hAnsi="Arial"/>
      <w:color w:val="000000"/>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2" w:lineRule="auto"/>
      <w:contextualSpacing/>
    </w:pPr>
    <w:rPr>
      <w:rFonts w:ascii="Arial" w:hAnsi="Arial"/>
      <w:color w:val="000000"/>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