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/>
      </w:pPr>
      <w:r>
        <w:rPr>
          <w:rFonts w:ascii="DejaVu Sans" w:hAnsi="DejaVu Sans"/>
          <w:b/>
          <w:color w:val="186B7B"/>
          <w:sz w:val="17"/>
        </w:rPr>
        <w:t>ГОТОВЫЙ АРТЕФАКТ • ПРАКТИЧЕСКОЕ ЗАДАНИЕ ПО УПРАВЛЕНИЮ ПРОЕКТАМИ</w:t>
      </w:r>
    </w:p>
    <w:p>
      <w:pPr>
        <w:pStyle w:val="Title"/>
      </w:pPr>
      <w:r>
        <w:t>Сетевой график и расчёт PERT</w:t>
      </w:r>
    </w:p>
    <w:p>
      <w:pPr>
        <w:spacing w:after="260"/>
      </w:pPr>
      <w:r>
        <w:rPr>
          <w:color w:val="186B7B"/>
          <w:sz w:val="21"/>
        </w:rPr>
        <w:t>Проект «Первый глоток. Предзаказ»   |   Фаза 3 «Базовый план»   |   Версия 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30"/>
            <w:shd w:fill="E6EFF5"/>
          </w:tcPr>
          <w:p>
            <w:pPr>
              <w:spacing w:after="80"/>
            </w:pPr>
            <w:r/>
            <w:r>
              <w:rPr>
                <w:b/>
                <w:color w:val="4D6277"/>
                <w:sz w:val="16"/>
              </w:rPr>
              <w:t>ПАКЕТОВ ИСР</w:t>
            </w:r>
          </w:p>
          <w:p>
            <w:pPr>
              <w:spacing w:after="40"/>
            </w:pPr>
            <w:r>
              <w:rPr>
                <w:b/>
                <w:color w:val="18364E"/>
                <w:sz w:val="32"/>
              </w:rPr>
              <w:t>24</w:t>
            </w:r>
          </w:p>
        </w:tc>
        <w:tc>
          <w:tcPr>
            <w:tcW w:type="dxa" w:w="3730"/>
            <w:shd w:fill="E6EFF5"/>
          </w:tcPr>
          <w:p>
            <w:pPr>
              <w:spacing w:after="80"/>
            </w:pPr>
            <w:r/>
            <w:r>
              <w:rPr>
                <w:b/>
                <w:color w:val="4D6277"/>
                <w:sz w:val="16"/>
              </w:rPr>
              <w:t>ОЖИДАЕМАЯ ТРУДОЁМКОСТЬ</w:t>
            </w:r>
          </w:p>
          <w:p>
            <w:pPr>
              <w:spacing w:after="40"/>
            </w:pPr>
            <w:r>
              <w:rPr>
                <w:b/>
                <w:color w:val="18364E"/>
                <w:sz w:val="32"/>
              </w:rPr>
              <w:t>209,3 чел.-ч</w:t>
            </w:r>
          </w:p>
        </w:tc>
        <w:tc>
          <w:tcPr>
            <w:tcW w:type="dxa" w:w="3730"/>
            <w:shd w:fill="E6EFF5"/>
          </w:tcPr>
          <w:p>
            <w:pPr>
              <w:spacing w:after="80"/>
            </w:pPr>
            <w:r/>
            <w:r>
              <w:rPr>
                <w:b/>
                <w:color w:val="4D6277"/>
                <w:sz w:val="16"/>
              </w:rPr>
              <w:t>ПЛАН С ЛОК. БУФЕРАМИ</w:t>
            </w:r>
          </w:p>
          <w:p>
            <w:pPr>
              <w:spacing w:after="40"/>
            </w:pPr>
            <w:r>
              <w:rPr>
                <w:b/>
                <w:color w:val="18364E"/>
                <w:sz w:val="32"/>
              </w:rPr>
              <w:t>225,3 чел.-ч</w:t>
            </w:r>
          </w:p>
        </w:tc>
        <w:tc>
          <w:tcPr>
            <w:tcW w:type="dxa" w:w="3730"/>
            <w:shd w:fill="E6EFF5"/>
          </w:tcPr>
          <w:p>
            <w:pPr>
              <w:spacing w:after="80"/>
            </w:pPr>
            <w:r/>
            <w:r>
              <w:rPr>
                <w:b/>
                <w:color w:val="4D6277"/>
                <w:sz w:val="16"/>
              </w:rPr>
              <w:t>КРИТИЧЕСКИЙ ПУТЬ</w:t>
            </w:r>
          </w:p>
          <w:p>
            <w:pPr>
              <w:spacing w:after="40"/>
            </w:pPr>
            <w:r>
              <w:rPr>
                <w:b/>
                <w:color w:val="18364E"/>
                <w:sz w:val="32"/>
              </w:rPr>
              <w:t>107,17 усл. ч</w:t>
            </w:r>
          </w:p>
        </w:tc>
      </w:tr>
    </w:tbl>
    <w:p>
      <w:pPr>
        <w:pStyle w:val="Heading1"/>
      </w:pPr>
      <w:r>
        <w:t>1. Основание и принятая модель</w:t>
      </w:r>
    </w:p>
    <w:p>
      <w:r>
        <w:t>Сетевой график построен по всем 24 листовым пакетам ИСР. Состав пакетов, исходные оценки O/M/P, локальные буферы и связи «предшественник → последующая работа» полностью перенесены из «Сводной таблицы оценок по пакетам работ» (стр. 2–3). Связи считаются отношениями «окончание → начало» без лагов. Добавлены условные события «Старт» и «Финиш» нулевой длительности.</w:t>
      </w:r>
    </w:p>
    <w:p>
      <w:r>
        <w:t>В расчёте PERT трудоёмкость каждого пакета используется как условная длительность при одном исполнителе. Это позволяет корректно вычислить топологические резервы в исходной шкале человеко-часов, но само по себе НЕ является календарным расписанием команды из шести человек.</w:t>
      </w:r>
    </w:p>
    <w:p>
      <w:pPr>
        <w:spacing w:before="40" w:after="100"/>
      </w:pPr>
      <w:r>
        <w:rPr>
          <w:rFonts w:ascii="DejaVu Sans" w:hAnsi="DejaVu Sans"/>
          <w:b/>
          <w:color w:val="186B7B"/>
          <w:sz w:val="17"/>
        </w:rPr>
        <w:t>РАСЧЁТНЫЕ ФОРМУЛЫ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3"/>
        <w:gridCol w:w="11339"/>
      </w:tblGrid>
      <w:tr>
        <w:trPr>
          <w:tblHeader w:val="true"/>
        </w:trPr>
        <w:tc>
          <w:tcPr>
            <w:tcW w:type="dxa" w:w="3543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1339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Формула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Ожидаемое значение PERT</w:t>
            </w:r>
          </w:p>
        </w:tc>
        <w:tc>
          <w:tcPr>
            <w:tcW w:type="dxa" w:w="1133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t = (O + 4M + P) / 6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Дисперсия работы</w:t>
            </w:r>
          </w:p>
        </w:tc>
        <w:tc>
          <w:tcPr>
            <w:tcW w:type="dxa" w:w="1133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σ² = ((P − O) / 6)²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Прямой проход</w:t>
            </w:r>
          </w:p>
        </w:tc>
        <w:tc>
          <w:tcPr>
            <w:tcW w:type="dxa" w:w="1133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ESᵢ = max(EF предшественников); EFᵢ = ESᵢ + tᵢ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Обратный проход</w:t>
            </w:r>
          </w:p>
        </w:tc>
        <w:tc>
          <w:tcPr>
            <w:tcW w:type="dxa" w:w="1133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LFᵢ = min(LS последователей); LSᵢ = LFᵢ − tᵢ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Полный резерв TF</w:t>
            </w:r>
          </w:p>
        </w:tc>
        <w:tc>
          <w:tcPr>
            <w:tcW w:type="dxa" w:w="1133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TFᵢ = LSᵢ − ESᵢ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Свободный резерв FF</w:t>
            </w:r>
          </w:p>
        </w:tc>
        <w:tc>
          <w:tcPr>
            <w:tcW w:type="dxa" w:w="1133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FFᵢ = min(ES последователей) − EFᵢ</w:t>
            </w:r>
          </w:p>
        </w:tc>
      </w:tr>
      <w:tr>
        <w:trPr>
          <w:trHeight w:val="300"/>
        </w:trPr>
        <w:tc>
          <w:tcPr>
            <w:tcW w:type="dxa" w:w="354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Независимый резерв IF</w:t>
            </w:r>
          </w:p>
        </w:tc>
        <w:tc>
          <w:tcPr>
            <w:tcW w:type="dxa" w:w="1133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IFᵢ = max[0; min(ES последователей) − max(LF предшественников) − tᵢ]</w:t>
            </w:r>
          </w:p>
        </w:tc>
      </w:tr>
    </w:tbl>
    <w:p>
      <w:r>
        <w:t>Для работ без предшественников принято ES = 0. Для конечных работ min(ES последователей) и LF заменяются общим сроком финиша T. Для начальных работ max(LF предшественников) = 0. Расчёты выполнялись по неокруглённым t; в таблицах результат показан с точностью до 0,01 ч.</w:t>
      </w:r>
    </w:p>
    <w:p>
      <w:r>
        <w:br w:type="page"/>
      </w:r>
    </w:p>
    <w:p>
      <w:pPr>
        <w:pStyle w:val="Heading1"/>
      </w:pPr>
      <w:r>
        <w:t>2. Сетевой график работ</w:t>
      </w:r>
    </w:p>
    <w:p>
      <w:pPr>
        <w:spacing w:after="220"/>
      </w:pPr>
      <w:r>
        <w:rPr>
          <w:color w:val="4D6277"/>
          <w:sz w:val="18"/>
        </w:rPr>
        <w:t>Формат AON: каждый прямоугольник — отдельный пакет ИСР; стрелки показывают логические зависимости. Красным отмечен критический путь, R — полный резерв.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3063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063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1. Общая сеть предшествования по всем 24 пакетам. Для просмотра мелких связей приложена отдельная масштабируемая PDF/SVG-версия схемы.</w:t>
      </w:r>
    </w:p>
    <w:p>
      <w:pPr>
        <w:pStyle w:val="Heading2"/>
      </w:pPr>
      <w:r>
        <w:t>Критический путь</w:t>
      </w:r>
    </w:p>
    <w:p>
      <w:r>
        <w:rPr>
          <w:b/>
          <w:color w:val="A4413B"/>
          <w:sz w:val="24"/>
        </w:rPr>
        <w:t>1.1 → 1.2 → 2.1 → 2.2 → 2.3 → 3.4 → 3.1 → 4.1 → 4.2 → 4.4 → 5.4</w:t>
      </w:r>
    </w:p>
    <w:p>
      <w:r>
        <w:t>Расшифровка: концепция и цели → границы и поставки → репозиторий и трекер → окружение и доступы → демо-данные → хранилище и бизнес-правила → Telegram-бот → функциональное тестирование → проверка сценариев и BR → финальная приёмка → итоговый отчёт. На всех 11 пакетах TF = 0.</w:t>
      </w:r>
    </w:p>
    <w:p>
      <w:r>
        <w:t>Продолжительность критической цепочки по ожидаемым PERT-оценкам — 107,17 усл. ч; с локальными буферами на этих пакетах — 115,67 усл. ч. Под «усл. ч» здесь понимается единица последовательной работы одного исполнителя, а не календарный час всей команды.</w:t>
      </w:r>
    </w:p>
    <w:p>
      <w:r>
        <w:br w:type="page"/>
      </w:r>
    </w:p>
    <w:p>
      <w:pPr>
        <w:pStyle w:val="Heading1"/>
      </w:pPr>
      <w:r>
        <w:t>3. Исходные работы и параметры PERT</w:t>
      </w:r>
    </w:p>
    <w:p>
      <w:pPr>
        <w:spacing w:after="220"/>
      </w:pPr>
      <w:r>
        <w:rPr>
          <w:color w:val="4D6277"/>
          <w:sz w:val="18"/>
        </w:rPr>
        <w:t>Сохранены коды и наименования пакетов из ИСР. Предшественники — без изменений относительно переданной сводной таблицы; дисперсия посчитана отдельно.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4649"/>
        <w:gridCol w:w="567"/>
        <w:gridCol w:w="567"/>
        <w:gridCol w:w="567"/>
        <w:gridCol w:w="1134"/>
        <w:gridCol w:w="850"/>
        <w:gridCol w:w="907"/>
        <w:gridCol w:w="4649"/>
      </w:tblGrid>
      <w:tr>
        <w:trPr>
          <w:tblHeader w:val="true"/>
        </w:trPr>
        <w:tc>
          <w:tcPr>
            <w:tcW w:type="dxa" w:w="73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Код</w:t>
            </w:r>
          </w:p>
        </w:tc>
        <w:tc>
          <w:tcPr>
            <w:tcW w:type="dxa" w:w="4649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Пакет работ</w:t>
            </w:r>
          </w:p>
        </w:tc>
        <w:tc>
          <w:tcPr>
            <w:tcW w:type="dxa" w:w="56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O, ч</w:t>
            </w:r>
          </w:p>
        </w:tc>
        <w:tc>
          <w:tcPr>
            <w:tcW w:type="dxa" w:w="56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M, ч</w:t>
            </w:r>
          </w:p>
        </w:tc>
        <w:tc>
          <w:tcPr>
            <w:tcW w:type="dxa" w:w="56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P, ч</w:t>
            </w:r>
          </w:p>
        </w:tc>
        <w:tc>
          <w:tcPr>
            <w:tcW w:type="dxa" w:w="113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t PERT, ч</w:t>
            </w:r>
          </w:p>
        </w:tc>
        <w:tc>
          <w:tcPr>
            <w:tcW w:type="dxa" w:w="850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σ², ч²</w:t>
            </w:r>
          </w:p>
        </w:tc>
        <w:tc>
          <w:tcPr>
            <w:tcW w:type="dxa" w:w="90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Буфер, ч</w:t>
            </w:r>
          </w:p>
        </w:tc>
        <w:tc>
          <w:tcPr>
            <w:tcW w:type="dxa" w:w="4649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4"/>
              </w:rPr>
              <w:t>Предшественники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1.1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Концепция и цели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4,00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0,11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—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1.2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Границы и поставки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4,17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0,25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1.1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1.3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ИСР, оценки и план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7,17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1.1; 1.2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1.4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Story map и бэклог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7,17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1.1; 1.2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2.1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Репозиторий и трекер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4,17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0,25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1.2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2.2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Окружение и доступы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9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6,17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2.1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2.3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Демо-данные и загрузка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11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7,33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1,00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1.2; 2.2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2.4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Сброс и тестовые аккаунты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6,33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2.2; 2.3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3.1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Telegram-бот гостя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18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32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24,33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5,44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1.4; 2.4; 3.4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3.2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Панель бариста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12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16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22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16,33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2,78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1.4; 2.4; 3.4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3.3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Панель управляющего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12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16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22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16,33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2,78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1.4; 2.4; 3.4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3.4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Хранилище и бизнес-правила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18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34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24,67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7,11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1.2; 2.2; 2.3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4.1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Функциональное тестирование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15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10,33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1,78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3.1; 3.2; 3.3; 3.4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4.2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Проверка сценариев и BR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7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16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10,50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2,25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4.1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4.3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Итерационные демо и приёмка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13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8,33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1,78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1.4; 2.1; 3.1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4.4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Финальная приёмка и чек-лист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10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6,33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1,00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4.1; 4.2; 4.3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5.1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Инструкции для 3 ролей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9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6,17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3.1; 3.2; 3.3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5.2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README и запуск/сброс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5,17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2.2; 2.4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5.3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Сценарий демонстрации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5,17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3.1; 3.2; 3.3; 4.3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4"/>
              </w:rPr>
              <w:t>5.4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Итоговый отчёт и уроки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5,17</w:t>
            </w:r>
          </w:p>
        </w:tc>
        <w:tc>
          <w:tcPr>
            <w:tcW w:type="dxa" w:w="850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4.4; 6.1; 6.2; 6.3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6.1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Статусы, трекер и часы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5,17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2.1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6.2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Риски и меры реагирования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5,17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1.3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6.3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Изменения и решения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3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5,17</w:t>
            </w:r>
          </w:p>
        </w:tc>
        <w:tc>
          <w:tcPr>
            <w:tcW w:type="dxa" w:w="850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0,69</w:t>
            </w:r>
          </w:p>
        </w:tc>
        <w:tc>
          <w:tcPr>
            <w:tcW w:type="dxa" w:w="90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1.2; 2.1</w:t>
            </w:r>
          </w:p>
        </w:tc>
      </w:tr>
      <w:tr>
        <w:trPr>
          <w:trHeight w:val="300"/>
        </w:trPr>
        <w:tc>
          <w:tcPr>
            <w:tcW w:type="dxa" w:w="73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4"/>
              </w:rPr>
              <w:t>6.4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4"/>
              </w:rPr>
              <w:t>Итерационное планирование и отчётность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5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</w:t>
            </w:r>
          </w:p>
        </w:tc>
        <w:tc>
          <w:tcPr>
            <w:tcW w:type="dxa" w:w="5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13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8,33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1,78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0,5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4"/>
              </w:rPr>
              <w:t>1.3; 6.1</w:t>
            </w:r>
          </w:p>
        </w:tc>
      </w:tr>
    </w:tbl>
    <w:p>
      <w:r>
        <w:br w:type="page"/>
      </w:r>
    </w:p>
    <w:p>
      <w:pPr>
        <w:pStyle w:val="Heading1"/>
      </w:pPr>
      <w:r>
        <w:t>4. Ранние / поздние события и резервы</w:t>
      </w:r>
    </w:p>
    <w:p>
      <w:pPr>
        <w:spacing w:after="220"/>
      </w:pPr>
      <w:r>
        <w:rPr>
          <w:color w:val="4D6277"/>
          <w:sz w:val="18"/>
        </w:rPr>
        <w:t>Sᵢ — событие «работу i можно начать» (раннее ES и позднее LS); Fᵢ — событие «работа i завершена» (раннее EF и позднее LF). Единица — усл. ч от старта.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814"/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13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Sᵢ: ран. ES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Sᵢ: позд. LS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Fᵢ: ран. EF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Fᵢ: позд. LF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Полный TF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Свободный FF</w:t>
            </w:r>
          </w:p>
        </w:tc>
        <w:tc>
          <w:tcPr>
            <w:tcW w:type="dxa" w:w="1814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Независимый IF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1.1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4,00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4,00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1.2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4,00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4,00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1.3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89,67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15,33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96,83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1.4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43,33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15,33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35,17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35,17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35,17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2.1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12,33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12,33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2.2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12,33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12,33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18,50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18,50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2.3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18,50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18,50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25,83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25,83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2.4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25,83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44,17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32,17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18,33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3.1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3.2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58,50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66,83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3.3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58,50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66,83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3.4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25,83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25,83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50,50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4.1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85,17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85,17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4.2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85,17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85,17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95,67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95,67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4.3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87,33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83,17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95,67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12,50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4.4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95,67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95,67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5.1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74,83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101,00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107,17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26,17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26,17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26,17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5.2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32,17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37,33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107,17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69,83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69,83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51,50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5.3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83,17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88,33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107,17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18,83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18,83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6,33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color w:val="A4413B"/>
                <w:sz w:val="17"/>
              </w:rPr>
              <w:t>5.4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107,17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107,17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FF0E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6.1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12,33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93,67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17,50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98,83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81,33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6.2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15,33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96,83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20,50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6.3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12,33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96,83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17,50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102,00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84,50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84,50</w:t>
            </w:r>
          </w:p>
        </w:tc>
        <w:tc>
          <w:tcPr>
            <w:tcW w:type="dxa" w:w="1814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84,50</w:t>
            </w:r>
          </w:p>
        </w:tc>
      </w:tr>
      <w:tr>
        <w:trPr>
          <w:trHeight w:val="300"/>
        </w:trPr>
        <w:tc>
          <w:tcPr>
            <w:tcW w:type="dxa" w:w="113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6.4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17,50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98,83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25,83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107,17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81,33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7"/>
              </w:rPr>
              <w:t>0,00</w:t>
            </w:r>
          </w:p>
        </w:tc>
      </w:tr>
    </w:tbl>
    <w:p>
      <w:r>
        <w:t>Глобальные события: «СТАРТ» — Tран = Tпозд = 0,00; «ФИНИШ» — Tран = Tпозд = 107,17. Для каждого пакета представлены времена двух соответствующих событий Sᵢ и Fᵢ, то есть 48 локальных событий. Красным отмечены работы с нулевым полным резервом.</w:t>
      </w:r>
    </w:p>
    <w:p>
      <w:r>
        <w:br w:type="page"/>
      </w:r>
    </w:p>
    <w:p>
      <w:pPr>
        <w:pStyle w:val="Heading1"/>
      </w:pPr>
      <w:r>
        <w:t>5. Вероятность уложиться в срок и проверка реализуемости</w:t>
      </w:r>
    </w:p>
    <w:p>
      <w:pPr>
        <w:spacing w:after="220"/>
      </w:pPr>
      <w:r>
        <w:rPr>
          <w:color w:val="4D6277"/>
          <w:sz w:val="18"/>
        </w:rPr>
        <w:t>Оценка ниже условная: входные O/M/P определяют трудоёмкость, а не длительность при конкретном назначении исполнителей.</w:t>
      </w:r>
    </w:p>
    <w:p>
      <w:pPr>
        <w:spacing w:before="40" w:after="100"/>
      </w:pPr>
      <w:r>
        <w:rPr>
          <w:rFonts w:ascii="DejaVu Sans" w:hAnsi="DejaVu Sans"/>
          <w:b/>
          <w:color w:val="186B7B"/>
          <w:sz w:val="17"/>
        </w:rPr>
        <w:t>ВЕРОЯТНОСТЬ ЗАВЕРШИТЬ КРИТИЧЕСКУЮ ЦЕПОЧКУ ЗА 10 НЕДЕЛЬ</w:t>
      </w:r>
    </w:p>
    <w:p>
      <w:r>
        <w:t>Согласно сводной таблице оценок оставшийся горизонт планирования — 10 недель; команда укомплектована 6 людьми с доступностью примерно 4 ч/нед у каждого. Для явного перехода от трудоёмкости к неделям принят сценарий: критическая цепочка непрерывно обеспечивается 3 участниками по 4 часа в неделю (12 чел.-ч/нед), без ожидания ресурсов; остальные 3 участника выполняют параллельные пакеты.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7767"/>
      </w:tblGrid>
      <w:tr>
        <w:trPr>
          <w:tblHeader w:val="true"/>
        </w:trPr>
        <w:tc>
          <w:tcPr>
            <w:tcW w:type="dxa" w:w="708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767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Значение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Ожидаемая трудоёмкость критического пути</w:t>
            </w:r>
          </w:p>
        </w:tc>
        <w:tc>
          <w:tcPr>
            <w:tcW w:type="dxa" w:w="77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107,17 чел.-ч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Дисперсия суммы работ критического пути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20,58 (чел.-ч)²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Стандартное отклонение критической цепочки</w:t>
            </w:r>
          </w:p>
        </w:tc>
        <w:tc>
          <w:tcPr>
            <w:tcW w:type="dxa" w:w="77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4,54 чел.-ч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Локальные буферы на критической цепочке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8,50 чел.-ч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Ресурсный лимит пути за 10 недель</w:t>
            </w:r>
          </w:p>
        </w:tc>
        <w:tc>
          <w:tcPr>
            <w:tcW w:type="dxa" w:w="77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3 × 4 × 10 = 120 чел.-ч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Ожидаемый срок при 3 исполнителях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8,93 недели; с буферами — 9,64 недели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PERT, без локальных буферов</w:t>
            </w:r>
          </w:p>
        </w:tc>
        <w:tc>
          <w:tcPr>
            <w:tcW w:type="dxa" w:w="7767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Φ((120 − 107,17) / 4,54) = 99,8 %</w:t>
            </w:r>
          </w:p>
        </w:tc>
      </w:tr>
      <w:tr>
        <w:trPr>
          <w:trHeight w:val="300"/>
        </w:trPr>
        <w:tc>
          <w:tcPr>
            <w:tcW w:type="dxa" w:w="708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7"/>
              </w:rPr>
              <w:t>PERT, с резервированием локальных буферов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7"/>
              </w:rPr>
              <w:t>Φ((120 − 8,50 − 107,17) / 4,54) = 83,0 %</w:t>
            </w:r>
          </w:p>
        </w:tc>
      </w:tr>
    </w:tbl>
    <w:p>
      <w:r>
        <w:t>Интерпретация: вероятность около 83,0% — оценка ТОЛЬКО для указанного сценария доступности критической цепочки с учётом локальных буферов. Это не вероятность завершения всего проекта по календарю: она не учитывает перегрузки участников, ограничения квалификации, конкуренцию пакетов за одних и тех же людей, смену критического пути и жёсткие вехи итераций. Без предположения о составе исполнителей корректную календарную вероятность из данных файлов определить нельзя.</w:t>
      </w:r>
    </w:p>
    <w:p>
      <w:pPr>
        <w:spacing w:before="40" w:after="100"/>
      </w:pPr>
      <w:r>
        <w:rPr>
          <w:rFonts w:ascii="DejaVu Sans" w:hAnsi="DejaVu Sans"/>
          <w:b/>
          <w:color w:val="186B7B"/>
          <w:sz w:val="17"/>
        </w:rPr>
        <w:t>КОНТРОЛЬ ОБЪЁМА, ЁМКОСТИ И БЮДЖЕТА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6123"/>
        <w:gridCol w:w="3458"/>
      </w:tblGrid>
      <w:tr>
        <w:trPr>
          <w:tblHeader w:val="true"/>
        </w:trPr>
        <w:tc>
          <w:tcPr>
            <w:tcW w:type="dxa" w:w="5272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6123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458"/>
            <w:shd w:fill="20415E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trHeight w:val="300"/>
        </w:trPr>
        <w:tc>
          <w:tcPr>
            <w:tcW w:type="dxa" w:w="5272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6"/>
              </w:rPr>
              <w:t>Фонд команды на 10 нед.</w:t>
            </w:r>
          </w:p>
        </w:tc>
        <w:tc>
          <w:tcPr>
            <w:tcW w:type="dxa" w:w="612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6"/>
              </w:rPr>
              <w:t>6 × 4 × 10 = 240 чел.-ч</w:t>
            </w:r>
          </w:p>
        </w:tc>
        <w:tc>
          <w:tcPr>
            <w:tcW w:type="dxa" w:w="3458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6"/>
              </w:rPr>
              <w:t>240 чел.-ч</w:t>
            </w:r>
          </w:p>
        </w:tc>
      </w:tr>
      <w:tr>
        <w:trPr>
          <w:trHeight w:val="300"/>
        </w:trPr>
        <w:tc>
          <w:tcPr>
            <w:tcW w:type="dxa" w:w="5272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6"/>
              </w:rPr>
              <w:t>План всех 24 пакетов, включая локальные буферы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6"/>
              </w:rPr>
              <w:t>по «Сводной таблице оценок», разд. 2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6"/>
              </w:rPr>
              <w:t>225,3 чел.-ч</w:t>
            </w:r>
          </w:p>
        </w:tc>
      </w:tr>
      <w:tr>
        <w:trPr>
          <w:trHeight w:val="300"/>
        </w:trPr>
        <w:tc>
          <w:tcPr>
            <w:tcW w:type="dxa" w:w="5272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6"/>
              </w:rPr>
              <w:t>Свободный центральный резерв</w:t>
            </w:r>
          </w:p>
        </w:tc>
        <w:tc>
          <w:tcPr>
            <w:tcW w:type="dxa" w:w="612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6"/>
              </w:rPr>
              <w:t>240 − 225,3</w:t>
            </w:r>
          </w:p>
        </w:tc>
        <w:tc>
          <w:tcPr>
            <w:tcW w:type="dxa" w:w="3458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6"/>
              </w:rPr>
              <w:t>14,7 чел.-ч (6,1%)</w:t>
            </w:r>
          </w:p>
        </w:tc>
      </w:tr>
      <w:tr>
        <w:trPr>
          <w:trHeight w:val="300"/>
        </w:trPr>
        <w:tc>
          <w:tcPr>
            <w:tcW w:type="dxa" w:w="5272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6"/>
              </w:rPr>
              <w:t>Загрузка команды плановыми пакетами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6"/>
              </w:rPr>
              <w:t>225,3 / 240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6"/>
              </w:rPr>
              <w:t>93,9% фонда</w:t>
            </w:r>
          </w:p>
        </w:tc>
      </w:tr>
      <w:tr>
        <w:trPr>
          <w:trHeight w:val="300"/>
        </w:trPr>
        <w:tc>
          <w:tcPr>
            <w:tcW w:type="dxa" w:w="5272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6"/>
              </w:rPr>
              <w:t>Плановая стоимость с резервами</w:t>
            </w:r>
          </w:p>
        </w:tc>
        <w:tc>
          <w:tcPr>
            <w:tcW w:type="dxa" w:w="6123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6"/>
              </w:rPr>
              <w:t>по «Сводной таблице оценок», разд. 3</w:t>
            </w:r>
          </w:p>
        </w:tc>
        <w:tc>
          <w:tcPr>
            <w:tcW w:type="dxa" w:w="3458"/>
            <w:vAlign w:val="center"/>
            <w:shd w:fill="F2F7FB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6"/>
              </w:rPr>
              <w:t>219 735 ₽</w:t>
            </w:r>
          </w:p>
        </w:tc>
      </w:tr>
      <w:tr>
        <w:trPr>
          <w:trHeight w:val="300"/>
        </w:trPr>
        <w:tc>
          <w:tcPr>
            <w:tcW w:type="dxa" w:w="5272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b/>
                <w:sz w:val="16"/>
              </w:rPr>
              <w:t>Лимит бюджета заказчика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</w:pPr>
            <w:r>
              <w:rPr>
                <w:rFonts w:ascii="DejaVu Sans" w:hAnsi="DejaVu Sans"/>
                <w:sz w:val="16"/>
              </w:rPr>
              <w:t>по уставу проекта, CON-1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FE6EC"/>
              <w:left w:val="single" w:sz="4" w:color="DFE6EC"/>
              <w:bottom w:val="single" w:sz="4" w:color="DFE6EC"/>
              <w:right w:val="single" w:sz="4" w:color="DFE6EC"/>
            </w:tcBorders>
          </w:tcPr>
          <w:p>
            <w:pPr>
              <w:spacing w:after="0" w:before="0"/>
              <w:jc w:val="center"/>
            </w:pPr>
            <w:r>
              <w:rPr>
                <w:rFonts w:ascii="DejaVu Sans" w:hAnsi="DejaVu Sans"/>
                <w:sz w:val="16"/>
              </w:rPr>
              <w:t>600 000 ₽</w:t>
            </w:r>
          </w:p>
        </w:tc>
      </w:tr>
    </w:tbl>
    <w:p>
      <w:r>
        <w:br w:type="page"/>
      </w:r>
    </w:p>
    <w:p>
      <w:pPr>
        <w:pStyle w:val="Heading1"/>
      </w:pPr>
      <w:r>
        <w:t>6. Выводы и ограничения базового плана</w:t>
      </w:r>
    </w:p>
    <w:p>
      <w:pPr>
        <w:spacing w:after="220"/>
      </w:pPr>
      <w:r>
        <w:rPr>
          <w:color w:val="4D6277"/>
          <w:sz w:val="18"/>
        </w:rPr>
        <w:t>Практические последствия расчётов для Фазы 3 и последующего составления ресурсного календаря.</w:t>
      </w:r>
    </w:p>
    <w:p>
      <w:pPr>
        <w:pStyle w:val="Heading2"/>
      </w:pPr>
      <w:r>
        <w:t>01. Логическая сеть подтверждена</w:t>
      </w:r>
    </w:p>
    <w:p>
      <w:pPr>
        <w:spacing w:after="100"/>
        <w:ind w:left="255"/>
      </w:pPr>
      <w:r>
        <w:t>В исходных предшественницах нет циклов. 24 пакета размещены в одной направленной сети от общего старта до общего финиша. Главная цепочка — 11 пакетов, 107,17 условных часа без локальных буферов.</w:t>
      </w:r>
    </w:p>
    <w:p>
      <w:pPr>
        <w:pStyle w:val="Heading2"/>
      </w:pPr>
      <w:r>
        <w:t>02. По трудоёмкости проект формально укладывается в фонд</w:t>
      </w:r>
    </w:p>
    <w:p>
      <w:pPr>
        <w:spacing w:after="100"/>
        <w:ind w:left="255"/>
      </w:pPr>
      <w:r>
        <w:t>Округлённая сумма E из исходной сводной оценки составляет 209,3 ч (по неокруглённым PERT: 209,17 ч). 225,3 чел.-ч на пакеты при доступных 240 чел.-ч; центральный резерв 14,7 чел.-ч полностью занимает оставшуюся ёмкость. Для накладок по ресурсам запас мал, поэтому 10-недельный срок следует считать напряжённым.</w:t>
      </w:r>
    </w:p>
    <w:p>
      <w:pPr>
        <w:pStyle w:val="Heading2"/>
      </w:pPr>
      <w:r>
        <w:t>03. Наиболее чувствительные работы</w:t>
      </w:r>
    </w:p>
    <w:p>
      <w:pPr>
        <w:spacing w:after="100"/>
        <w:ind w:left="255"/>
      </w:pPr>
      <w:r>
        <w:t>Пакеты 3.4 «Хранилище и бизнес-правила» и 3.1 «Telegram-бот гостя» последовательно входят в критический путь. Задержка любого критического пакета при неизменных зависимостях напрямую сдвигает финиш. Риски R2/R3 из реестра (бот/сервер и передача заказа бариста) усиливают приоритет интеграционных проверок.</w:t>
      </w:r>
    </w:p>
    <w:p>
      <w:pPr>
        <w:pStyle w:val="Heading2"/>
      </w:pPr>
      <w:r>
        <w:t>04. Промежуточные даты не вытекают из одного PERT-графика</w:t>
      </w:r>
    </w:p>
    <w:p>
      <w:pPr>
        <w:spacing w:after="100"/>
        <w:ind w:left="255"/>
      </w:pPr>
      <w:r>
        <w:t>Устав фиксирует восемь двухнедельных фаз, в частности четыре демонстрации в фазах 5–8 и финал на Д8. Пакеты 4.3 и 6.1–6.4 в ИСР агрегируют повторяющиеся действия в одну работу. Их одна дуга в сети не доказывает достижение каждой промежуточной вехи. Отдельное календарное расписание должно распределить часы между ролями и двухнедельными итерациями.</w:t>
      </w:r>
    </w:p>
    <w:p>
      <w:pPr>
        <w:pStyle w:val="Heading2"/>
      </w:pPr>
      <w:r>
        <w:t>05. Согласование плановых баз</w:t>
      </w:r>
    </w:p>
    <w:p>
      <w:pPr>
        <w:spacing w:after="100"/>
        <w:ind w:left="255"/>
      </w:pPr>
      <w:r>
        <w:t>Устав описывает 16 недель и фонд 384 чел.-ч за полный семестр, сводная оценка — отдельный 10-недельный горизонт и 240 чел.-ч; план устава 402 160 ₽ относится к большему горизонту/модели бюджета, а сводная оценка — 219 735 ₽ для оценённых пакетов. Для этого сетевого графика использован именно пакетный план из Фазы 3, значения не смешиваются.</w:t>
      </w:r>
    </w:p>
    <w:p>
      <w:pPr>
        <w:pStyle w:val="Heading2"/>
      </w:pPr>
      <w:r>
        <w:t>06. Рекомендация по следующему артефакту</w:t>
      </w:r>
    </w:p>
    <w:p>
      <w:pPr>
        <w:spacing w:after="100"/>
        <w:ind w:left="255"/>
      </w:pPr>
      <w:r>
        <w:t>На диаграмме Ганта назначить ответственных из устава и доступность каждого по 4 ч/нед, добавить окончания И1–И4 (Д5–Д8), проверить ограничения по компетенциям и выровнять конфликты ресурсов. При превышении 10 недель — согласовать перестановку работ/параллелизацию или сокращение необязательного объёма, не трогая Must без решения заказчика.</w:t>
      </w:r>
    </w:p>
    <w:p>
      <w:pPr>
        <w:spacing w:before="40" w:after="100"/>
      </w:pPr>
      <w:r>
        <w:rPr>
          <w:rFonts w:ascii="DejaVu Sans" w:hAnsi="DejaVu Sans"/>
          <w:b/>
          <w:color w:val="186B7B"/>
          <w:sz w:val="17"/>
        </w:rPr>
        <w:t>ИСПОЛЬЗОВАННЫЕ МАТЕРИАЛЫ ИЗ ПРОЕКТА</w:t>
      </w:r>
    </w:p>
    <w:p>
      <w:r>
        <w:t>1. «Задание.docx», раздел «Фаза 3. Базовый план».  2. «Сводная таблица оценок по пакетам работ.pdf», стр. 1–3.  3. «Иерархия глотка.pdf», ИСР (24 пакета).  4. «Устав_проекта (1).docx», разделы 6 и 8.  5. «Реестр рисков.pdf», риски R2/R3.  6. ТЗ «tz_pervyj_glotok.md» — контекст продукта и вех.</w:t>
      </w:r>
    </w:p>
    <w:p>
      <w:r>
        <w:t>Методические допущения выделены отдельно от фактов источников. Исходные зависимости и O/M/P не корректировались. Для сдачи итоговые таблицы допускают сверку с исходной «Сводной таблицей оценок».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850" w:bottom="737" w:left="850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6277"/>
        <w:sz w:val="14"/>
      </w:rPr>
      <w:t xml:space="preserve">Проект «Первый глоток. Предзаказ»   •   Сетевой график и расчёт PERT   •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186B7B"/>
        <w:sz w:val="16"/>
      </w:rPr>
      <w:t>ПЕРВЫЙ ГЛОТОК   /   ФАЗА 3   /   PERT · CPM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DejaVu Sans" w:hAnsi="DejaVu Sans"/>
      <w:color w:val="2B39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434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434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434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4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Сетевой график и расчёт PERT — Первый глоток</dc:title>
  <dc:subject>Фаза 3 — Базовый план</dc:subject>
  <dc:creator>python-docx</dc:creator>
  <cp:keywords>PERT, CPM, сетевой график, критический путь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