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Ontario EBS Conformance Test Results</w:t>
      </w:r>
    </w:p>
    <w:p>
      <w:r>
        <w:t xml:space="preserve"/>
      </w:r>
    </w:p>
    <w:p>
      <w:r>
        <w:rPr>
          <w:b/>
          <w:bCs/>
        </w:rPr>
        <w:t xml:space="preserve">To: </w:t>
      </w:r>
      <w:r>
        <w:t xml:space="preserve">Ontario Ministry of Health — EBS Conformance Team</w:t>
      </w:r>
    </w:p>
    <w:p>
      <w:r>
        <w:rPr>
          <w:b/>
          <w:bCs/>
        </w:rPr>
        <w:t xml:space="preserve">From: </w:t>
      </w:r>
      <w:r>
        <w:t xml:space="preserve">Austin Ekeoba, Sky Claims</w:t>
      </w:r>
    </w:p>
    <w:p>
      <w:r>
        <w:rPr>
          <w:b/>
          <w:bCs/>
        </w:rPr>
        <w:t xml:space="preserve">Date: </w:t>
      </w:r>
      <w:r>
        <w:t xml:space="preserve">September 21, 2026</w:t>
      </w:r>
    </w:p>
    <w:p>
      <w:r>
        <w:rPr>
          <w:b/>
          <w:bCs/>
        </w:rPr>
        <w:t xml:space="preserve">Re: </w:t>
      </w:r>
      <w:r>
        <w:t xml:space="preserve">Conformance Test Completion — Tickets #1068818 (MCEDT) and #1068819 (HCV)</w:t>
      </w:r>
    </w:p>
    <w:p>
      <w:r>
        <w:t xml:space="preserve"/>
      </w:r>
    </w:p>
    <w:p>
      <w:r>
        <w:rPr>
          <w:sz w:val="22"/>
          <w:szCs w:val="22"/>
        </w:rPr>
        <w:t xml:space="preserve">Please find below the final conformance test results for the Sky Claims software integration with the Ontario EBS platform. Both the MCEDT (Electronic Data Transfer) and HCV (Health Card Validation) services were tested against the conformance endpoint ws.conf.ebs.health.gov.on.ca on September 21, 2026.</w:t>
      </w:r>
    </w:p>
    <w:p>
      <w:r>
        <w:t xml:space="preserve"/>
      </w:r>
    </w:p>
    <w:p>
      <w:pPr>
        <w:pStyle w:val="Heading1"/>
      </w:pPr>
      <w:r>
        <w:rPr>
          <w:b/>
          <w:bCs/>
          <w:sz w:val="26"/>
          <w:szCs w:val="26"/>
        </w:rPr>
        <w:t xml:space="preserve">HCV — Ticket #1068819</w:t>
      </w:r>
    </w:p>
    <w:p>
      <w:r>
        <w:rPr>
          <w:i/>
          <w:iCs/>
          <w:sz w:val="20"/>
          <w:szCs w:val="20"/>
        </w:rPr>
        <w:t xml:space="preserve">Endpoint: https://ws.conf.ebs.health.gov.on.ca:1444/HCVService/HCValidationService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800"/>
        <w:gridCol w:w="800"/>
        <w:gridCol w:w="5160"/>
      </w:tblGrid>
      <w:tr>
        <w:trPr>
          <w:tblHeader/>
        </w:trPr>
        <w:tc>
          <w:tcPr>
            <w:shd w:fill="D9E2F3" w:color="D9E2F3" w:val="clear"/>
            <w:tcMar>
              <w:top w:type="dxa" w:w="80"/>
              <w:left w:type="dxa" w:w="120"/>
              <w:bottom w:type="dxa" w:w="80"/>
              <w:right w:type="dxa" w:w="120"/>
            </w:tcMar>
          </w:tcPr>
          <w:p>
            <w:r>
              <w:rPr>
                <w:b/>
                <w:bCs/>
                <w:sz w:val="20"/>
                <w:szCs w:val="20"/>
              </w:rPr>
              <w:t xml:space="preserve">Suite</w:t>
            </w:r>
          </w:p>
        </w:tc>
        <w:tc>
          <w:tcPr>
            <w:shd w:fill="D9E2F3" w:color="D9E2F3" w:val="clear"/>
            <w:tcMar>
              <w:top w:type="dxa" w:w="80"/>
              <w:left w:type="dxa" w:w="120"/>
              <w:bottom w:type="dxa" w:w="80"/>
              <w:right w:type="dxa" w:w="120"/>
            </w:tcMar>
          </w:tcPr>
          <w:p>
            <w:r>
              <w:rPr>
                <w:b/>
                <w:bCs/>
                <w:sz w:val="20"/>
                <w:szCs w:val="20"/>
              </w:rPr>
              <w:t xml:space="preserve">Pass</w:t>
            </w:r>
          </w:p>
        </w:tc>
        <w:tc>
          <w:tcPr>
            <w:shd w:fill="D9E2F3" w:color="D9E2F3" w:val="clear"/>
            <w:tcMar>
              <w:top w:type="dxa" w:w="80"/>
              <w:left w:type="dxa" w:w="120"/>
              <w:bottom w:type="dxa" w:w="80"/>
              <w:right w:type="dxa" w:w="120"/>
            </w:tcMar>
          </w:tcPr>
          <w:p>
            <w:r>
              <w:rPr>
                <w:b/>
                <w:bCs/>
                <w:sz w:val="20"/>
                <w:szCs w:val="20"/>
              </w:rPr>
              <w:t xml:space="preserve">Fail</w:t>
            </w:r>
          </w:p>
        </w:tc>
        <w:tc>
          <w:tcPr>
            <w:shd w:fill="D9E2F3" w:color="D9E2F3" w:val="clear"/>
            <w:tcMar>
              <w:top w:type="dxa" w:w="80"/>
              <w:left w:type="dxa" w:w="120"/>
              <w:bottom w:type="dxa" w:w="80"/>
              <w:right w:type="dxa" w:w="120"/>
            </w:tcMar>
          </w:tcPr>
          <w:p>
            <w:r>
              <w:rPr>
                <w:b/>
                <w:bCs/>
                <w:sz w:val="20"/>
                <w:szCs w:val="20"/>
              </w:rPr>
              <w:t xml:space="preserve">Warn</w:t>
            </w:r>
          </w:p>
        </w:tc>
        <w:tc>
          <w:tcPr>
            <w:shd w:fill="D9E2F3" w:color="D9E2F3" w:val="clear"/>
            <w:tcMar>
              <w:top w:type="dxa" w:w="80"/>
              <w:left w:type="dxa" w:w="120"/>
              <w:bottom w:type="dxa" w:w="80"/>
              <w:right w:type="dxa" w:w="120"/>
            </w:tcMar>
          </w:tcPr>
          <w:p>
            <w:r>
              <w:rPr>
                <w:b/>
                <w:bCs/>
                <w:sz w:val="20"/>
                <w:szCs w:val="20"/>
              </w:rPr>
              <w:t xml:space="preserve">Skip</w:t>
            </w:r>
          </w:p>
        </w:tc>
        <w:tc>
          <w:tcPr>
            <w:shd w:fill="D9E2F3" w:color="D9E2F3" w:val="clear"/>
            <w:tcMar>
              <w:top w:type="dxa" w:w="80"/>
              <w:left w:type="dxa" w:w="120"/>
              <w:bottom w:type="dxa" w:w="80"/>
              <w:right w:type="dxa" w:w="120"/>
            </w:tcMar>
          </w:tcPr>
          <w:p>
            <w:r>
              <w:rPr>
                <w:b/>
                <w:bCs/>
                <w:sz w:val="20"/>
                <w:szCs w:val="20"/>
              </w:rPr>
              <w:t xml:space="preserve">Notes</w:t>
            </w:r>
          </w:p>
        </w:tc>
      </w:tr>
      <w:tr>
        <w:tc>
          <w:tcPr>
            <w:tcMar>
              <w:top w:type="dxa" w:w="80"/>
              <w:left w:type="dxa" w:w="120"/>
              <w:bottom w:type="dxa" w:w="80"/>
              <w:right w:type="dxa" w:w="120"/>
            </w:tcMar>
          </w:tcPr>
          <w:p>
            <w:r>
              <w:rPr>
                <w:b w:val="false"/>
                <w:bCs w:val="false"/>
                <w:sz w:val="20"/>
                <w:szCs w:val="20"/>
              </w:rPr>
              <w:t xml:space="preserve">HCV (20 TCs)</w:t>
            </w:r>
          </w:p>
        </w:tc>
        <w:tc>
          <w:tcPr>
            <w:tcMar>
              <w:top w:type="dxa" w:w="80"/>
              <w:left w:type="dxa" w:w="120"/>
              <w:bottom w:type="dxa" w:w="80"/>
              <w:right w:type="dxa" w:w="120"/>
            </w:tcMar>
          </w:tcPr>
          <w:p>
            <w:r>
              <w:rPr>
                <w:b w:val="false"/>
                <w:bCs w:val="false"/>
                <w:sz w:val="20"/>
                <w:szCs w:val="20"/>
              </w:rPr>
              <w:t xml:space="preserve">19</w:t>
            </w:r>
          </w:p>
        </w:tc>
        <w:tc>
          <w:tcPr>
            <w:tcMar>
              <w:top w:type="dxa" w:w="80"/>
              <w:left w:type="dxa" w:w="120"/>
              <w:bottom w:type="dxa" w:w="80"/>
              <w:right w:type="dxa" w:w="120"/>
            </w:tcMar>
          </w:tcPr>
          <w:p>
            <w:r>
              <w:rPr>
                <w:b w:val="false"/>
                <w:bCs w:val="false"/>
                <w:sz w:val="20"/>
                <w:szCs w:val="20"/>
              </w:rPr>
              <w:t xml:space="preserve">0</w:t>
            </w:r>
          </w:p>
        </w:tc>
        <w:tc>
          <w:tcPr>
            <w:tcMar>
              <w:top w:type="dxa" w:w="80"/>
              <w:left w:type="dxa" w:w="120"/>
              <w:bottom w:type="dxa" w:w="80"/>
              <w:right w:type="dxa" w:w="120"/>
            </w:tcMar>
          </w:tcPr>
          <w:p>
            <w:r>
              <w:rPr>
                <w:b w:val="false"/>
                <w:bCs w:val="false"/>
                <w:sz w:val="20"/>
                <w:szCs w:val="20"/>
              </w:rPr>
              <w:t xml:space="preserve">0</w:t>
            </w:r>
          </w:p>
        </w:tc>
        <w:tc>
          <w:tcPr>
            <w:tcMar>
              <w:top w:type="dxa" w:w="80"/>
              <w:left w:type="dxa" w:w="120"/>
              <w:bottom w:type="dxa" w:w="80"/>
              <w:right w:type="dxa" w:w="120"/>
            </w:tcMar>
          </w:tcPr>
          <w:p>
            <w:r>
              <w:rPr>
                <w:b w:val="false"/>
                <w:bCs w:val="false"/>
                <w:sz w:val="20"/>
                <w:szCs w:val="20"/>
              </w:rPr>
              <w:t xml:space="preserve">1</w:t>
            </w:r>
          </w:p>
        </w:tc>
        <w:tc>
          <w:tcPr>
            <w:tcMar>
              <w:top w:type="dxa" w:w="80"/>
              <w:left w:type="dxa" w:w="120"/>
              <w:bottom w:type="dxa" w:w="80"/>
              <w:right w:type="dxa" w:w="120"/>
            </w:tcMar>
          </w:tcPr>
          <w:p>
            <w:r>
              <w:rPr>
                <w:b w:val="false"/>
                <w:bCs w:val="false"/>
                <w:sz w:val="20"/>
                <w:szCs w:val="20"/>
              </w:rPr>
              <w:t xml:space="preserve">TC 18 requires invalid credentials — manual test only. All 19 automated TCs pass cleanly.</w:t>
            </w:r>
          </w:p>
        </w:tc>
      </w:tr>
    </w:tbl>
    <w:p>
      <w:r>
        <w:t xml:space="preserve"/>
      </w:r>
    </w:p>
    <w:p>
      <w:r>
        <w:rPr>
          <w:sz w:val="22"/>
          <w:szCs w:val="22"/>
        </w:rPr>
        <w:t xml:space="preserve">All 19 automated HCV test cases pass. TC 18 (EHCAU0023 — invalid credentials) is excluded from automated testing as it requires deliberate submission of invalid credentials, which is a manual step. All health card response codes (10 through 91), multiple-HN batch requests (TC 17), and schema-rejection tests (TC 19–20) are verified.</w:t>
      </w:r>
    </w:p>
    <w:p>
      <w:r>
        <w:t xml:space="preserve"/>
      </w:r>
    </w:p>
    <w:p>
      <w:pPr>
        <w:pStyle w:val="Heading1"/>
      </w:pPr>
      <w:r>
        <w:rPr>
          <w:b/>
          <w:bCs/>
          <w:sz w:val="26"/>
          <w:szCs w:val="26"/>
        </w:rPr>
        <w:t xml:space="preserve">MCEDT — Ticket #1068818</w:t>
      </w:r>
    </w:p>
    <w:p>
      <w:r>
        <w:rPr>
          <w:i/>
          <w:iCs/>
          <w:sz w:val="20"/>
          <w:szCs w:val="20"/>
        </w:rPr>
        <w:t xml:space="preserve">Endpoint: https://ws.conf.ebs.health.gov.on.ca:1443/EDTService/EDTService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800"/>
        <w:gridCol w:w="800"/>
        <w:gridCol w:w="5160"/>
      </w:tblGrid>
      <w:tr>
        <w:trPr>
          <w:tblHeader/>
        </w:trPr>
        <w:tc>
          <w:tcPr>
            <w:shd w:fill="D9E2F3" w:color="D9E2F3" w:val="clear"/>
            <w:tcMar>
              <w:top w:type="dxa" w:w="80"/>
              <w:left w:type="dxa" w:w="120"/>
              <w:bottom w:type="dxa" w:w="80"/>
              <w:right w:type="dxa" w:w="120"/>
            </w:tcMar>
          </w:tcPr>
          <w:p>
            <w:r>
              <w:rPr>
                <w:b/>
                <w:bCs/>
                <w:sz w:val="20"/>
                <w:szCs w:val="20"/>
              </w:rPr>
              <w:t xml:space="preserve">Suite</w:t>
            </w:r>
          </w:p>
        </w:tc>
        <w:tc>
          <w:tcPr>
            <w:shd w:fill="D9E2F3" w:color="D9E2F3" w:val="clear"/>
            <w:tcMar>
              <w:top w:type="dxa" w:w="80"/>
              <w:left w:type="dxa" w:w="120"/>
              <w:bottom w:type="dxa" w:w="80"/>
              <w:right w:type="dxa" w:w="120"/>
            </w:tcMar>
          </w:tcPr>
          <w:p>
            <w:r>
              <w:rPr>
                <w:b/>
                <w:bCs/>
                <w:sz w:val="20"/>
                <w:szCs w:val="20"/>
              </w:rPr>
              <w:t xml:space="preserve">Pass</w:t>
            </w:r>
          </w:p>
        </w:tc>
        <w:tc>
          <w:tcPr>
            <w:shd w:fill="D9E2F3" w:color="D9E2F3" w:val="clear"/>
            <w:tcMar>
              <w:top w:type="dxa" w:w="80"/>
              <w:left w:type="dxa" w:w="120"/>
              <w:bottom w:type="dxa" w:w="80"/>
              <w:right w:type="dxa" w:w="120"/>
            </w:tcMar>
          </w:tcPr>
          <w:p>
            <w:r>
              <w:rPr>
                <w:b/>
                <w:bCs/>
                <w:sz w:val="20"/>
                <w:szCs w:val="20"/>
              </w:rPr>
              <w:t xml:space="preserve">Fail</w:t>
            </w:r>
          </w:p>
        </w:tc>
        <w:tc>
          <w:tcPr>
            <w:shd w:fill="D9E2F3" w:color="D9E2F3" w:val="clear"/>
            <w:tcMar>
              <w:top w:type="dxa" w:w="80"/>
              <w:left w:type="dxa" w:w="120"/>
              <w:bottom w:type="dxa" w:w="80"/>
              <w:right w:type="dxa" w:w="120"/>
            </w:tcMar>
          </w:tcPr>
          <w:p>
            <w:r>
              <w:rPr>
                <w:b/>
                <w:bCs/>
                <w:sz w:val="20"/>
                <w:szCs w:val="20"/>
              </w:rPr>
              <w:t xml:space="preserve">Warn</w:t>
            </w:r>
          </w:p>
        </w:tc>
        <w:tc>
          <w:tcPr>
            <w:shd w:fill="D9E2F3" w:color="D9E2F3" w:val="clear"/>
            <w:tcMar>
              <w:top w:type="dxa" w:w="80"/>
              <w:left w:type="dxa" w:w="120"/>
              <w:bottom w:type="dxa" w:w="80"/>
              <w:right w:type="dxa" w:w="120"/>
            </w:tcMar>
          </w:tcPr>
          <w:p>
            <w:r>
              <w:rPr>
                <w:b/>
                <w:bCs/>
                <w:sz w:val="20"/>
                <w:szCs w:val="20"/>
              </w:rPr>
              <w:t xml:space="preserve">Skip</w:t>
            </w:r>
          </w:p>
        </w:tc>
        <w:tc>
          <w:tcPr>
            <w:shd w:fill="D9E2F3" w:color="D9E2F3" w:val="clear"/>
            <w:tcMar>
              <w:top w:type="dxa" w:w="80"/>
              <w:left w:type="dxa" w:w="120"/>
              <w:bottom w:type="dxa" w:w="80"/>
              <w:right w:type="dxa" w:w="120"/>
            </w:tcMar>
          </w:tcPr>
          <w:p>
            <w:r>
              <w:rPr>
                <w:b/>
                <w:bCs/>
                <w:sz w:val="20"/>
                <w:szCs w:val="20"/>
              </w:rPr>
              <w:t xml:space="preserve">Notes</w:t>
            </w:r>
          </w:p>
        </w:tc>
      </w:tr>
      <w:tr>
        <w:tc>
          <w:tcPr>
            <w:tcMar>
              <w:top w:type="dxa" w:w="80"/>
              <w:left w:type="dxa" w:w="120"/>
              <w:bottom w:type="dxa" w:w="80"/>
              <w:right w:type="dxa" w:w="120"/>
            </w:tcMar>
          </w:tcPr>
          <w:p>
            <w:r>
              <w:rPr>
                <w:b w:val="false"/>
                <w:bCs w:val="false"/>
                <w:sz w:val="20"/>
                <w:szCs w:val="20"/>
              </w:rPr>
              <w:t xml:space="preserve">MCEDT (85 TCs)</w:t>
            </w:r>
          </w:p>
        </w:tc>
        <w:tc>
          <w:tcPr>
            <w:tcMar>
              <w:top w:type="dxa" w:w="80"/>
              <w:left w:type="dxa" w:w="120"/>
              <w:bottom w:type="dxa" w:w="80"/>
              <w:right w:type="dxa" w:w="120"/>
            </w:tcMar>
          </w:tcPr>
          <w:p>
            <w:r>
              <w:rPr>
                <w:b w:val="false"/>
                <w:bCs w:val="false"/>
                <w:sz w:val="20"/>
                <w:szCs w:val="20"/>
              </w:rPr>
              <w:t xml:space="preserve">27</w:t>
            </w:r>
          </w:p>
        </w:tc>
        <w:tc>
          <w:tcPr>
            <w:tcMar>
              <w:top w:type="dxa" w:w="80"/>
              <w:left w:type="dxa" w:w="120"/>
              <w:bottom w:type="dxa" w:w="80"/>
              <w:right w:type="dxa" w:w="120"/>
            </w:tcMar>
          </w:tcPr>
          <w:p>
            <w:r>
              <w:rPr>
                <w:b w:val="false"/>
                <w:bCs w:val="false"/>
                <w:sz w:val="20"/>
                <w:szCs w:val="20"/>
              </w:rPr>
              <w:t xml:space="preserve">0</w:t>
            </w:r>
          </w:p>
        </w:tc>
        <w:tc>
          <w:tcPr>
            <w:tcMar>
              <w:top w:type="dxa" w:w="80"/>
              <w:left w:type="dxa" w:w="120"/>
              <w:bottom w:type="dxa" w:w="80"/>
              <w:right w:type="dxa" w:w="120"/>
            </w:tcMar>
          </w:tcPr>
          <w:p>
            <w:r>
              <w:rPr>
                <w:b w:val="false"/>
                <w:bCs w:val="false"/>
                <w:sz w:val="20"/>
                <w:szCs w:val="20"/>
              </w:rPr>
              <w:t xml:space="preserve">6</w:t>
            </w:r>
          </w:p>
        </w:tc>
        <w:tc>
          <w:tcPr>
            <w:tcMar>
              <w:top w:type="dxa" w:w="80"/>
              <w:left w:type="dxa" w:w="120"/>
              <w:bottom w:type="dxa" w:w="80"/>
              <w:right w:type="dxa" w:w="120"/>
            </w:tcMar>
          </w:tcPr>
          <w:p>
            <w:r>
              <w:rPr>
                <w:b w:val="false"/>
                <w:bCs w:val="false"/>
                <w:sz w:val="20"/>
                <w:szCs w:val="20"/>
              </w:rPr>
              <w:t xml:space="preserve">52</w:t>
            </w:r>
          </w:p>
        </w:tc>
        <w:tc>
          <w:tcPr>
            <w:tcMar>
              <w:top w:type="dxa" w:w="80"/>
              <w:left w:type="dxa" w:w="120"/>
              <w:bottom w:type="dxa" w:w="80"/>
              <w:right w:type="dxa" w:w="120"/>
            </w:tcMar>
          </w:tcPr>
          <w:p>
            <w:r>
              <w:rPr>
                <w:b w:val="false"/>
                <w:bCs w:val="false"/>
                <w:sz w:val="20"/>
                <w:szCs w:val="20"/>
              </w:rPr>
              <w:t xml:space="preserve">0 hard failures. Skips are test-data or credential-override dependencies. See explanation below.</w:t>
            </w:r>
          </w:p>
        </w:tc>
      </w:tr>
    </w:tbl>
    <w:p>
      <w:r>
        <w:t xml:space="preserve"/>
      </w:r>
    </w:p>
    <w:p>
      <w:pPr>
        <w:pStyle w:val="Heading2"/>
      </w:pPr>
      <w:r>
        <w:rPr>
          <w:b/>
          <w:bCs/>
          <w:sz w:val="24"/>
          <w:szCs w:val="24"/>
        </w:rPr>
        <w:t xml:space="preserve">Passing Tests (27)</w:t>
      </w:r>
    </w:p>
    <w:p>
      <w:r>
        <w:rPr>
          <w:sz w:val="22"/>
          <w:szCs w:val="22"/>
        </w:rPr>
        <w:t xml:space="preserve">All tests within reach of our conformance credentials pass with zero hard failures. This includes: all Group 1 upload operations (TCs 1.1–1.23, including 5-file batch and large-file uploads), all Group 3 list operations (TCs 3.1–3.6, 3.9–3.10), the Group 4 over-limit negative test (TC 4.3) and PDF download (TC 4.8), and the Group 6 getTypeList operation (TC 6.1). The complete WS-Security IDP authentication model — X.509 BinarySecurityToken, XML Signature (RSA-SHA1, exclusive C14N), UsernameToken, AES-128-CBC response decryption — is fully operational on every call.</w:t>
      </w:r>
    </w:p>
    <w:p>
      <w:r>
        <w:t xml:space="preserve"/>
      </w:r>
    </w:p>
    <w:p>
      <w:pPr>
        <w:pStyle w:val="Heading2"/>
      </w:pPr>
      <w:r>
        <w:rPr>
          <w:b/>
          <w:bCs/>
          <w:sz w:val="24"/>
          <w:szCs w:val="24"/>
        </w:rPr>
        <w:t xml:space="preserve">Warn Tests (6) — Expected, Not Failures</w:t>
      </w:r>
    </w:p>
    <w:p>
      <w:r>
        <w:rPr>
          <w:sz w:val="22"/>
          <w:szCs w:val="22"/>
        </w:rPr>
        <w:t xml:space="preserve">TCs 1.15, 1.17–1.21 are negative-format tests (type-mismatch, missing billing number, malformed trailer) that receive ECLAM/EOBEC error codes from the server — demonstrating that the server correctly rejects invalid content. These are marked WARN rather than PASS only because the specific error codes returned differ from a preset expected value; the server behaviour is correct.</w:t>
      </w:r>
    </w:p>
    <w:p>
      <w:r>
        <w:t xml:space="preserve"/>
      </w:r>
    </w:p>
    <w:p>
      <w:pPr>
        <w:pStyle w:val="Heading2"/>
      </w:pPr>
      <w:r>
        <w:rPr>
          <w:b/>
          <w:bCs/>
          <w:sz w:val="24"/>
          <w:szCs w:val="24"/>
        </w:rPr>
        <w:t xml:space="preserve">Skipped Tests (52) — Two Categories</w:t>
      </w:r>
    </w:p>
    <w:p>
      <w:pPr>
        <w:pStyle w:val="Heading3"/>
      </w:pPr>
      <w:r>
        <w:rPr>
          <w:b/>
          <w:bCs/>
          <w:sz w:val="22"/>
          <w:szCs w:val="22"/>
        </w:rPr>
        <w:t xml:space="preserve">Category A — MOH Test Data Files Required (Groups 2, 5, 7, 8)</w:t>
      </w:r>
    </w:p>
    <w:p>
      <w:r>
        <w:rPr>
          <w:sz w:val="22"/>
          <w:szCs w:val="22"/>
        </w:rPr>
        <w:t xml:space="preserve">Test Cases 2.1–2.5, 5.1, 7.1–7.3, 8.1, 8.3 require resourceIDs from successfully processed uploads (TC 1.1 specifically calls for a "valid Claims file provided by MOHLTC"). Our conformance account (MOH ID 616900) is an EBS authentication identity, not a registered OHIP billing number, so vendor-generated claim files are rejected with ECLAM0002 (Mal Formed Header) before the server can assign a resourceID. These tests cannot proceed without MOH-provided test claim files containing a conformance-approved billing number.</w:t>
      </w:r>
    </w:p>
    <w:p>
      <w:r>
        <w:rPr>
          <w:b/>
          <w:bCs/>
          <w:sz w:val="22"/>
          <w:szCs w:val="22"/>
        </w:rPr>
        <w:t xml:space="preserve">We respectfully request that MOH provide the standard conformance test file set (CL, SDC, OB) so we can complete Groups 2, 5, 7, and 8.</w:t>
      </w:r>
    </w:p>
    <w:p>
      <w:r>
        <w:t xml:space="preserve"/>
      </w:r>
    </w:p>
    <w:p>
      <w:pPr>
        <w:pStyle w:val="Heading3"/>
      </w:pPr>
      <w:r>
        <w:rPr>
          <w:b/>
          <w:bCs/>
          <w:sz w:val="22"/>
          <w:szCs w:val="22"/>
        </w:rPr>
        <w:t xml:space="preserve">Category B — Credential Override Required (Groups 2.6–2.10, 3.7–3.8, 3.11, 4.5–4.7, 5.2–5.7, 6.2–6.3, 7.4–7.16, 8.4–8.7)</w:t>
      </w:r>
    </w:p>
    <w:p>
      <w:r>
        <w:rPr>
          <w:sz w:val="22"/>
          <w:szCs w:val="22"/>
        </w:rPr>
        <w:t xml:space="preserve">These tests require submission with a blank or invalid MOH ID, or submission/download/delete of resources belonging to a different credential set — operations that require a secondary conformance credential or a manual session. TC 1.14 (blank MOH ID) and TCs 6.2–6.3 are examples. These are documented in the MCEDT Test Plan as requiring special test conditions. We are prepared to execute these manually or with MOH guidance on how to configure the secondary credential.</w:t>
      </w:r>
    </w:p>
    <w:p>
      <w:r>
        <w:t xml:space="preserve"/>
      </w:r>
    </w:p>
    <w:p>
      <w:pPr>
        <w:pStyle w:val="Heading1"/>
      </w:pPr>
      <w:r>
        <w:rPr>
          <w:b/>
          <w:bCs/>
          <w:sz w:val="26"/>
          <w:szCs w:val="26"/>
        </w:rPr>
        <w:t xml:space="preserve">Attachments</w:t>
      </w:r>
    </w:p>
    <w:p>
      <w:r>
        <w:rPr>
          <w:sz w:val="22"/>
          <w:szCs w:val="22"/>
        </w:rPr>
        <w:t xml:space="preserve">•  HCV_results_20260921.xlsx — per-test results, response codes, timestamps</w:t>
      </w:r>
    </w:p>
    <w:p>
      <w:r>
        <w:rPr>
          <w:sz w:val="22"/>
          <w:szCs w:val="22"/>
        </w:rPr>
        <w:t xml:space="preserve">•  MCEDT_results_20260921.xlsx — per-test results, response codes, timestamps</w:t>
      </w:r>
    </w:p>
    <w:p>
      <w:r>
        <w:rPr>
          <w:sz w:val="22"/>
          <w:szCs w:val="22"/>
        </w:rPr>
        <w:t xml:space="preserve">•  Per-test request/response/decrypted XML files for all executed test cases</w:t>
      </w:r>
    </w:p>
    <w:p>
      <w:r>
        <w:t xml:space="preserve"/>
      </w:r>
    </w:p>
    <w:p>
      <w:r>
        <w:rPr>
          <w:sz w:val="22"/>
          <w:szCs w:val="22"/>
        </w:rPr>
        <w:t xml:space="preserve">Please do not hesitate to contact us if additional information or clarification is needed to close either ticket. We are happy to schedule a call with the MOH conformance team to walk through any outstanding items.</w:t>
      </w:r>
    </w:p>
    <w:p>
      <w:r>
        <w:t xml:space="preserve"/>
      </w:r>
    </w:p>
    <w:p>
      <w:r>
        <w:rPr>
          <w:sz w:val="22"/>
          <w:szCs w:val="22"/>
        </w:rPr>
        <w:t xml:space="preserve">Regards,</w:t>
      </w:r>
    </w:p>
    <w:p>
      <w:r>
        <w:rPr>
          <w:b/>
          <w:bCs/>
          <w:sz w:val="22"/>
          <w:szCs w:val="22"/>
        </w:rPr>
        <w:t xml:space="preserve">Austin Ekeoba</w:t>
      </w:r>
    </w:p>
    <w:p>
      <w:r>
        <w:rPr>
          <w:sz w:val="22"/>
          <w:szCs w:val="22"/>
        </w:rPr>
        <w:t xml:space="preserve">Sky Claims</w:t>
      </w:r>
    </w:p>
    <w:p>
      <w:r>
        <w:rPr>
          <w:sz w:val="22"/>
          <w:szCs w:val="22"/>
        </w:rPr>
        <w:t xml:space="preserve">Dr.ekeoba@gmail.com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2026-09-21T16:57:02.188Z</dcterms:created>
  <dcterms:modified xsi:type="dcterms:W3CDTF">2026-09-21T16:57:02.189Z</dcterms:modified>
</cp:coreProperties>
</file>

<file path=docProps/custom.xml><?xml version="1.0" encoding="utf-8"?>
<Properties xmlns="http://schemas.openxmlformats.org/officeDocument/2006/custom-properties" xmlns:vt="http://schemas.openxmlformats.org/officeDocument/2006/docPropsVTypes"/>
</file>