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pPr>
    </w:p>
    <w:p>
      <w:pPr>
        <w:jc w:val="center"/>
      </w:pPr>
      <w:r>
        <w:rPr>
          <w:rFonts w:ascii="Arial" w:hAnsi="Arial"/>
          <w:b/>
          <w:color w:val="1F3864"/>
          <w:sz w:val="56"/>
        </w:rPr>
        <w:t>SKY CLAIMS</w:t>
      </w:r>
    </w:p>
    <w:p>
      <w:pPr>
        <w:jc w:val="center"/>
      </w:pPr>
      <w:r>
        <w:rPr>
          <w:rFonts w:ascii="Arial" w:hAnsi="Arial"/>
          <w:b/>
          <w:color w:val="2E75B6"/>
          <w:sz w:val="36"/>
        </w:rPr>
        <w:t>BC Medical Services Plan — Teleplan</w:t>
      </w:r>
    </w:p>
    <w:p>
      <w:pPr>
        <w:spacing w:after="240"/>
        <w:jc w:val="center"/>
      </w:pPr>
      <w:r>
        <w:rPr>
          <w:rFonts w:ascii="Arial" w:hAnsi="Arial"/>
          <w:color w:val="404040"/>
          <w:sz w:val="28"/>
        </w:rPr>
        <w:t>Staff Reference Guide for Support &amp; Onboarding</w:t>
      </w:r>
    </w:p>
    <w:p>
      <w:pPr>
        <w:jc w:val="center"/>
      </w:pPr>
      <w:r>
        <w:rPr>
          <w:rFonts w:ascii="Arial" w:hAnsi="Arial"/>
          <w:i/>
          <w:color w:val="808080"/>
          <w:sz w:val="19"/>
        </w:rPr>
        <w:t>For internal use by Sky Claims staff. Not for distribution to practitioners.</w:t>
      </w:r>
    </w:p>
    <w:p>
      <w:r>
        <w:br w:type="page"/>
      </w:r>
    </w:p>
    <w:p>
      <w:pPr>
        <w:spacing w:before="480" w:after="120"/>
        <w:pBdr>
          <w:bottom w:val="single" w:sz="6" w:color="2E75B6"/>
        </w:pBdr>
      </w:pPr>
      <w:r>
        <w:rPr>
          <w:rFonts w:ascii="Arial" w:hAnsi="Arial"/>
          <w:b/>
          <w:color w:val="1F3864"/>
          <w:sz w:val="36"/>
        </w:rPr>
        <w:t>1.  What Is MSP and Teleplan?</w:t>
      </w:r>
    </w:p>
    <w:p>
      <w:pPr>
        <w:spacing w:after="120"/>
      </w:pPr>
      <w:r>
        <w:rPr>
          <w:rFonts w:ascii="Arial" w:hAnsi="Arial"/>
          <w:i w:val="0"/>
          <w:color w:val="404040"/>
          <w:sz w:val="21"/>
        </w:rPr>
        <w:t>The Medical Services Plan (MSP) is British Columbia's publicly funded health insurance program. It covers medically necessary physician and allied health services for eligible BC residents. MSP is administered by the BC Ministry of Health.</w:t>
      </w:r>
    </w:p>
    <w:p>
      <w:pPr>
        <w:spacing w:after="120"/>
      </w:pPr>
      <w:r>
        <w:rPr>
          <w:rFonts w:ascii="Arial" w:hAnsi="Arial"/>
          <w:i w:val="0"/>
          <w:color w:val="404040"/>
          <w:sz w:val="21"/>
        </w:rPr>
        <w:t>Teleplan is the electronic claims submission and remittance system that connects healthcare providers to MSP's mainframe. Every medical claim submitted to MSP goes through Teleplan. Sky Claims integrates directly with Teleplan on behalf of registered providers.</w:t>
      </w:r>
    </w:p>
    <w:p>
      <w:pPr>
        <w:spacing w:before="0" w:after="120"/>
      </w:pPr>
    </w:p>
    <w:tbl>
      <w:tblPr>
        <w:tblStyle w:val="TableGrid"/>
        <w:tblW w:type="auto" w:w="0"/>
        <w:jc w:val="left"/>
        <w:tblLook w:firstColumn="1" w:firstRow="1" w:lastColumn="0" w:lastRow="0" w:noHBand="0" w:noVBand="1" w:val="04A0"/>
      </w:tblPr>
      <w:tblGrid>
        <w:gridCol w:w="1296"/>
        <w:gridCol w:w="8064"/>
      </w:tblGrid>
      <w:tr>
        <w:tc>
          <w:tcPr>
            <w:tcW w:type="dxa" w:w="1296"/>
            <w:shd w:val="clear" w:color="auto" w:fill="2E75B6"/>
          </w:tcPr>
          <w:p>
            <w:pPr>
              <w:spacing w:before="80" w:after="80"/>
              <w:jc w:val="center"/>
            </w:pPr>
            <w:r>
              <w:rPr>
                <w:rFonts w:ascii="Arial" w:hAnsi="Arial"/>
                <w:b/>
                <w:color w:val="FFFFFF"/>
                <w:sz w:val="18"/>
              </w:rPr>
              <w:t>SCALE</w:t>
            </w:r>
          </w:p>
        </w:tc>
        <w:tc>
          <w:tcPr>
            <w:tcW w:type="dxa" w:w="8064"/>
            <w:shd w:val="clear" w:color="auto" w:fill="DEEAF1"/>
          </w:tcPr>
          <w:p>
            <w:pPr>
              <w:spacing w:before="80" w:after="80"/>
            </w:pPr>
            <w:r>
              <w:rPr>
                <w:rFonts w:ascii="Arial" w:hAnsi="Arial"/>
                <w:color w:val="404040"/>
                <w:sz w:val="20"/>
              </w:rPr>
              <w:t>Teleplan processes over 9 million claims per month, valued at approximately $330 million. About 98.8% of all claims are processed within 30 days, with most paid within 14 days.</w:t>
            </w:r>
          </w:p>
        </w:tc>
      </w:tr>
    </w:tbl>
    <w:p>
      <w:pPr>
        <w:spacing w:before="0" w:after="120"/>
      </w:pPr>
    </w:p>
    <w:p>
      <w:pPr>
        <w:spacing w:before="280" w:after="80"/>
      </w:pPr>
      <w:r>
        <w:rPr>
          <w:rFonts w:ascii="Arial" w:hAnsi="Arial"/>
          <w:b/>
          <w:color w:val="2E75B6"/>
          <w:sz w:val="26"/>
        </w:rPr>
        <w:t>How Teleplan Works — The Big Picture</w:t>
      </w:r>
    </w:p>
    <w:p>
      <w:pPr>
        <w:spacing w:after="120"/>
      </w:pPr>
      <w:r>
        <w:rPr>
          <w:rFonts w:ascii="Arial" w:hAnsi="Arial"/>
          <w:i w:val="0"/>
          <w:color w:val="404040"/>
          <w:sz w:val="21"/>
        </w:rPr>
        <w:t>Sky Claims prepares claim files in the exact format MSP requires, sends them to Teleplan, and retrieves the responses (remittances) that tell us what was paid, refused, or reduced.</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1F3864"/>
          </w:tcPr>
          <w:p>
            <w:pPr>
              <w:spacing w:before="60" w:after="60"/>
            </w:pPr>
            <w:r>
              <w:rPr>
                <w:rFonts w:ascii="Arial" w:hAnsi="Arial"/>
                <w:b/>
                <w:color w:val="FFFFFF"/>
                <w:sz w:val="19"/>
              </w:rPr>
              <w:t>Step</w:t>
            </w:r>
          </w:p>
        </w:tc>
        <w:tc>
          <w:tcPr>
            <w:tcW w:type="dxa" w:w="5184"/>
            <w:shd w:val="clear" w:color="auto" w:fill="1F3864"/>
          </w:tcPr>
          <w:p>
            <w:pPr>
              <w:spacing w:before="60" w:after="60"/>
            </w:pPr>
            <w:r>
              <w:rPr>
                <w:rFonts w:ascii="Arial" w:hAnsi="Arial"/>
                <w:b/>
                <w:color w:val="FFFFFF"/>
                <w:sz w:val="19"/>
              </w:rPr>
              <w:t>What Happens</w:t>
            </w:r>
          </w:p>
        </w:tc>
        <w:tc>
          <w:tcPr>
            <w:tcW w:type="dxa" w:w="3600"/>
            <w:shd w:val="clear" w:color="auto" w:fill="1F3864"/>
          </w:tcPr>
          <w:p>
            <w:pPr>
              <w:spacing w:before="60" w:after="60"/>
            </w:pPr>
            <w:r>
              <w:rPr>
                <w:rFonts w:ascii="Arial" w:hAnsi="Arial"/>
                <w:b/>
                <w:color w:val="FFFFFF"/>
                <w:sz w:val="19"/>
              </w:rPr>
              <w:t>Who Does It</w:t>
            </w:r>
          </w:p>
        </w:tc>
      </w:tr>
      <w:tr>
        <w:tc>
          <w:tcPr>
            <w:tcW w:type="dxa" w:w="576"/>
            <w:shd w:val="clear" w:color="auto" w:fill="FFFFFF"/>
          </w:tcPr>
          <w:p>
            <w:pPr>
              <w:spacing w:before="60" w:after="60"/>
            </w:pPr>
            <w:r>
              <w:rPr>
                <w:rFonts w:ascii="Arial" w:hAnsi="Arial"/>
                <w:color w:val="404040"/>
                <w:sz w:val="19"/>
              </w:rPr>
              <w:t>1</w:t>
            </w:r>
          </w:p>
        </w:tc>
        <w:tc>
          <w:tcPr>
            <w:tcW w:type="dxa" w:w="5184"/>
            <w:shd w:val="clear" w:color="auto" w:fill="FFFFFF"/>
          </w:tcPr>
          <w:p>
            <w:pPr>
              <w:spacing w:before="60" w:after="60"/>
            </w:pPr>
            <w:r>
              <w:rPr>
                <w:rFonts w:ascii="Arial" w:hAnsi="Arial"/>
                <w:color w:val="404040"/>
                <w:sz w:val="19"/>
              </w:rPr>
              <w:t>Provider delivers services to patient</w:t>
            </w:r>
          </w:p>
        </w:tc>
        <w:tc>
          <w:tcPr>
            <w:tcW w:type="dxa" w:w="3600"/>
            <w:shd w:val="clear" w:color="auto" w:fill="FFFFFF"/>
          </w:tcPr>
          <w:p>
            <w:pPr>
              <w:spacing w:before="60" w:after="60"/>
            </w:pPr>
            <w:r>
              <w:rPr>
                <w:rFonts w:ascii="Arial" w:hAnsi="Arial"/>
                <w:color w:val="404040"/>
                <w:sz w:val="19"/>
              </w:rPr>
              <w:t>Provider (physician/clinic)</w:t>
            </w:r>
          </w:p>
        </w:tc>
      </w:tr>
      <w:tr>
        <w:tc>
          <w:tcPr>
            <w:tcW w:type="dxa" w:w="576"/>
            <w:shd w:val="clear" w:color="auto" w:fill="F2F2F2"/>
          </w:tcPr>
          <w:p>
            <w:pPr>
              <w:spacing w:before="60" w:after="60"/>
            </w:pPr>
            <w:r>
              <w:rPr>
                <w:rFonts w:ascii="Arial" w:hAnsi="Arial"/>
                <w:color w:val="404040"/>
                <w:sz w:val="19"/>
              </w:rPr>
              <w:t>2</w:t>
            </w:r>
          </w:p>
        </w:tc>
        <w:tc>
          <w:tcPr>
            <w:tcW w:type="dxa" w:w="5184"/>
            <w:shd w:val="clear" w:color="auto" w:fill="F2F2F2"/>
          </w:tcPr>
          <w:p>
            <w:pPr>
              <w:spacing w:before="60" w:after="60"/>
            </w:pPr>
            <w:r>
              <w:rPr>
                <w:rFonts w:ascii="Arial" w:hAnsi="Arial"/>
                <w:color w:val="404040"/>
                <w:sz w:val="19"/>
              </w:rPr>
              <w:t>Sky Claims prepares and submits claim file to Teleplan</w:t>
            </w:r>
          </w:p>
        </w:tc>
        <w:tc>
          <w:tcPr>
            <w:tcW w:type="dxa" w:w="3600"/>
            <w:shd w:val="clear" w:color="auto" w:fill="F2F2F2"/>
          </w:tcPr>
          <w:p>
            <w:pPr>
              <w:spacing w:before="60" w:after="60"/>
            </w:pPr>
            <w:r>
              <w:rPr>
                <w:rFonts w:ascii="Arial" w:hAnsi="Arial"/>
                <w:color w:val="404040"/>
                <w:sz w:val="19"/>
              </w:rPr>
              <w:t>Sky Claims software</w:t>
            </w:r>
          </w:p>
        </w:tc>
      </w:tr>
      <w:tr>
        <w:tc>
          <w:tcPr>
            <w:tcW w:type="dxa" w:w="576"/>
            <w:shd w:val="clear" w:color="auto" w:fill="FFFFFF"/>
          </w:tcPr>
          <w:p>
            <w:pPr>
              <w:spacing w:before="60" w:after="60"/>
            </w:pPr>
            <w:r>
              <w:rPr>
                <w:rFonts w:ascii="Arial" w:hAnsi="Arial"/>
                <w:color w:val="404040"/>
                <w:sz w:val="19"/>
              </w:rPr>
              <w:t>3</w:t>
            </w:r>
          </w:p>
        </w:tc>
        <w:tc>
          <w:tcPr>
            <w:tcW w:type="dxa" w:w="5184"/>
            <w:shd w:val="clear" w:color="auto" w:fill="FFFFFF"/>
          </w:tcPr>
          <w:p>
            <w:pPr>
              <w:spacing w:before="60" w:after="60"/>
            </w:pPr>
            <w:r>
              <w:rPr>
                <w:rFonts w:ascii="Arial" w:hAnsi="Arial"/>
                <w:color w:val="404040"/>
                <w:sz w:val="19"/>
              </w:rPr>
              <w:t>Teleplan validates format (pre-edit check)</w:t>
            </w:r>
          </w:p>
        </w:tc>
        <w:tc>
          <w:tcPr>
            <w:tcW w:type="dxa" w:w="3600"/>
            <w:shd w:val="clear" w:color="auto" w:fill="FFFFFF"/>
          </w:tcPr>
          <w:p>
            <w:pPr>
              <w:spacing w:before="60" w:after="60"/>
            </w:pPr>
            <w:r>
              <w:rPr>
                <w:rFonts w:ascii="Arial" w:hAnsi="Arial"/>
                <w:color w:val="404040"/>
                <w:sz w:val="19"/>
              </w:rPr>
              <w:t>MSP automated system</w:t>
            </w:r>
          </w:p>
        </w:tc>
      </w:tr>
      <w:tr>
        <w:tc>
          <w:tcPr>
            <w:tcW w:type="dxa" w:w="576"/>
            <w:shd w:val="clear" w:color="auto" w:fill="F2F2F2"/>
          </w:tcPr>
          <w:p>
            <w:pPr>
              <w:spacing w:before="60" w:after="60"/>
            </w:pPr>
            <w:r>
              <w:rPr>
                <w:rFonts w:ascii="Arial" w:hAnsi="Arial"/>
                <w:color w:val="404040"/>
                <w:sz w:val="19"/>
              </w:rPr>
              <w:t>4</w:t>
            </w:r>
          </w:p>
        </w:tc>
        <w:tc>
          <w:tcPr>
            <w:tcW w:type="dxa" w:w="5184"/>
            <w:shd w:val="clear" w:color="auto" w:fill="F2F2F2"/>
          </w:tcPr>
          <w:p>
            <w:pPr>
              <w:spacing w:before="60" w:after="60"/>
            </w:pPr>
            <w:r>
              <w:rPr>
                <w:rFonts w:ascii="Arial" w:hAnsi="Arial"/>
                <w:color w:val="404040"/>
                <w:sz w:val="19"/>
              </w:rPr>
              <w:t>Claims pass to MSP adjudication (assessment)</w:t>
            </w:r>
          </w:p>
        </w:tc>
        <w:tc>
          <w:tcPr>
            <w:tcW w:type="dxa" w:w="3600"/>
            <w:shd w:val="clear" w:color="auto" w:fill="F2F2F2"/>
          </w:tcPr>
          <w:p>
            <w:pPr>
              <w:spacing w:before="60" w:after="60"/>
            </w:pPr>
            <w:r>
              <w:rPr>
                <w:rFonts w:ascii="Arial" w:hAnsi="Arial"/>
                <w:color w:val="404040"/>
                <w:sz w:val="19"/>
              </w:rPr>
              <w:t>MSP automated + manual review</w:t>
            </w:r>
          </w:p>
        </w:tc>
      </w:tr>
      <w:tr>
        <w:tc>
          <w:tcPr>
            <w:tcW w:type="dxa" w:w="576"/>
            <w:shd w:val="clear" w:color="auto" w:fill="FFFFFF"/>
          </w:tcPr>
          <w:p>
            <w:pPr>
              <w:spacing w:before="60" w:after="60"/>
            </w:pPr>
            <w:r>
              <w:rPr>
                <w:rFonts w:ascii="Arial" w:hAnsi="Arial"/>
                <w:color w:val="404040"/>
                <w:sz w:val="19"/>
              </w:rPr>
              <w:t>5</w:t>
            </w:r>
          </w:p>
        </w:tc>
        <w:tc>
          <w:tcPr>
            <w:tcW w:type="dxa" w:w="5184"/>
            <w:shd w:val="clear" w:color="auto" w:fill="FFFFFF"/>
          </w:tcPr>
          <w:p>
            <w:pPr>
              <w:spacing w:before="60" w:after="60"/>
            </w:pPr>
            <w:r>
              <w:rPr>
                <w:rFonts w:ascii="Arial" w:hAnsi="Arial"/>
                <w:color w:val="404040"/>
                <w:sz w:val="19"/>
              </w:rPr>
              <w:t>MSP sends back remittance — paid, reduced, or refused</w:t>
            </w:r>
          </w:p>
        </w:tc>
        <w:tc>
          <w:tcPr>
            <w:tcW w:type="dxa" w:w="3600"/>
            <w:shd w:val="clear" w:color="auto" w:fill="FFFFFF"/>
          </w:tcPr>
          <w:p>
            <w:pPr>
              <w:spacing w:before="60" w:after="60"/>
            </w:pPr>
            <w:r>
              <w:rPr>
                <w:rFonts w:ascii="Arial" w:hAnsi="Arial"/>
                <w:color w:val="404040"/>
                <w:sz w:val="19"/>
              </w:rPr>
              <w:t>MSP</w:t>
            </w:r>
          </w:p>
        </w:tc>
      </w:tr>
      <w:tr>
        <w:tc>
          <w:tcPr>
            <w:tcW w:type="dxa" w:w="576"/>
            <w:shd w:val="clear" w:color="auto" w:fill="F2F2F2"/>
          </w:tcPr>
          <w:p>
            <w:pPr>
              <w:spacing w:before="60" w:after="60"/>
            </w:pPr>
            <w:r>
              <w:rPr>
                <w:rFonts w:ascii="Arial" w:hAnsi="Arial"/>
                <w:color w:val="404040"/>
                <w:sz w:val="19"/>
              </w:rPr>
              <w:t>6</w:t>
            </w:r>
          </w:p>
        </w:tc>
        <w:tc>
          <w:tcPr>
            <w:tcW w:type="dxa" w:w="5184"/>
            <w:shd w:val="clear" w:color="auto" w:fill="F2F2F2"/>
          </w:tcPr>
          <w:p>
            <w:pPr>
              <w:spacing w:before="60" w:after="60"/>
            </w:pPr>
            <w:r>
              <w:rPr>
                <w:rFonts w:ascii="Arial" w:hAnsi="Arial"/>
                <w:color w:val="404040"/>
                <w:sz w:val="19"/>
              </w:rPr>
              <w:t>Sky Claims retrieves remittance and reconciles accounts</w:t>
            </w:r>
          </w:p>
        </w:tc>
        <w:tc>
          <w:tcPr>
            <w:tcW w:type="dxa" w:w="3600"/>
            <w:shd w:val="clear" w:color="auto" w:fill="F2F2F2"/>
          </w:tcPr>
          <w:p>
            <w:pPr>
              <w:spacing w:before="60" w:after="60"/>
            </w:pPr>
            <w:r>
              <w:rPr>
                <w:rFonts w:ascii="Arial" w:hAnsi="Arial"/>
                <w:color w:val="404040"/>
                <w:sz w:val="19"/>
              </w:rPr>
              <w:t>Sky Claims software</w:t>
            </w:r>
          </w:p>
        </w:tc>
      </w:tr>
      <w:tr>
        <w:tc>
          <w:tcPr>
            <w:tcW w:type="dxa" w:w="576"/>
            <w:shd w:val="clear" w:color="auto" w:fill="FFFFFF"/>
          </w:tcPr>
          <w:p>
            <w:pPr>
              <w:spacing w:before="60" w:after="60"/>
            </w:pPr>
            <w:r>
              <w:rPr>
                <w:rFonts w:ascii="Arial" w:hAnsi="Arial"/>
                <w:color w:val="404040"/>
                <w:sz w:val="19"/>
              </w:rPr>
              <w:t>7</w:t>
            </w:r>
          </w:p>
        </w:tc>
        <w:tc>
          <w:tcPr>
            <w:tcW w:type="dxa" w:w="5184"/>
            <w:shd w:val="clear" w:color="auto" w:fill="FFFFFF"/>
          </w:tcPr>
          <w:p>
            <w:pPr>
              <w:spacing w:before="60" w:after="60"/>
            </w:pPr>
            <w:r>
              <w:rPr>
                <w:rFonts w:ascii="Arial" w:hAnsi="Arial"/>
                <w:color w:val="404040"/>
                <w:sz w:val="19"/>
              </w:rPr>
              <w:t>Payment deposited to provider's bank account or by cheque</w:t>
            </w:r>
          </w:p>
        </w:tc>
        <w:tc>
          <w:tcPr>
            <w:tcW w:type="dxa" w:w="3600"/>
            <w:shd w:val="clear" w:color="auto" w:fill="FFFFFF"/>
          </w:tcPr>
          <w:p>
            <w:pPr>
              <w:spacing w:before="60" w:after="60"/>
            </w:pPr>
            <w:r>
              <w:rPr>
                <w:rFonts w:ascii="Arial" w:hAnsi="Arial"/>
                <w:color w:val="404040"/>
                <w:sz w:val="19"/>
              </w:rPr>
              <w:t>MSP Treasury</w:t>
            </w:r>
          </w:p>
        </w:tc>
      </w:tr>
    </w:tbl>
    <w:p>
      <w:pPr>
        <w:spacing w:before="0" w:after="160"/>
      </w:pPr>
    </w:p>
    <w:p>
      <w:pPr>
        <w:spacing w:before="280" w:after="80"/>
      </w:pPr>
      <w:r>
        <w:rPr>
          <w:rFonts w:ascii="Arial" w:hAnsi="Arial"/>
          <w:b/>
          <w:color w:val="2E75B6"/>
          <w:sz w:val="26"/>
        </w:rPr>
        <w:t>Payment Timing</w:t>
      </w:r>
    </w:p>
    <w:p>
      <w:pPr>
        <w:spacing w:after="120"/>
      </w:pPr>
      <w:r>
        <w:rPr>
          <w:rFonts w:ascii="Arial" w:hAnsi="Arial"/>
          <w:i w:val="0"/>
          <w:color w:val="404040"/>
          <w:sz w:val="21"/>
        </w:rPr>
        <w:t>MSP makes payments twice per month: at mid-month and at month-end. Payments are by Electronic Funds Transfer (EFT) or by cheque. EFT is strongly recommended — it is faster and avoids lost cheques.</w:t>
      </w:r>
    </w:p>
    <w:p>
      <w:r>
        <w:br w:type="page"/>
      </w:r>
    </w:p>
    <w:p>
      <w:pPr>
        <w:spacing w:before="480" w:after="120"/>
        <w:pBdr>
          <w:bottom w:val="single" w:sz="6" w:color="2E75B6"/>
        </w:pBdr>
      </w:pPr>
      <w:r>
        <w:rPr>
          <w:rFonts w:ascii="Arial" w:hAnsi="Arial"/>
          <w:b/>
          <w:color w:val="1F3864"/>
          <w:sz w:val="36"/>
        </w:rPr>
        <w:t>2.  Patient Eligibility</w:t>
      </w:r>
    </w:p>
    <w:p>
      <w:pPr>
        <w:spacing w:after="120"/>
      </w:pPr>
      <w:r>
        <w:rPr>
          <w:rFonts w:ascii="Arial" w:hAnsi="Arial"/>
          <w:i w:val="0"/>
          <w:color w:val="404040"/>
          <w:sz w:val="21"/>
        </w:rPr>
        <w:t>MSP only pays for services provided to eligible BC residents. Always confirm eligibility before submitting a claim. Submitting for an ineligible patient results in a refusal — and recovery after assessment is far more difficult.</w:t>
      </w:r>
    </w:p>
    <w:p>
      <w:pPr>
        <w:spacing w:before="280" w:after="80"/>
      </w:pPr>
      <w:r>
        <w:rPr>
          <w:rFonts w:ascii="Arial" w:hAnsi="Arial"/>
          <w:b/>
          <w:color w:val="2E75B6"/>
          <w:sz w:val="26"/>
        </w:rPr>
        <w:t>Who Is Eligible?</w:t>
      </w:r>
    </w:p>
    <w:p>
      <w:pPr>
        <w:pStyle w:val="ListBullet"/>
        <w:spacing w:after="60"/>
        <w:ind w:left="360"/>
      </w:pPr>
      <w:r>
        <w:rPr>
          <w:rFonts w:ascii="Arial" w:hAnsi="Arial"/>
          <w:color w:val="404040"/>
          <w:sz w:val="21"/>
        </w:rPr>
        <w:t>Canadian citizens and permanent residents who have lived in BC for at least 3 months (the waiting period)</w:t>
      </w:r>
    </w:p>
    <w:p>
      <w:pPr>
        <w:pStyle w:val="ListBullet"/>
        <w:spacing w:after="60"/>
        <w:ind w:left="360"/>
      </w:pPr>
      <w:r>
        <w:rPr>
          <w:rFonts w:ascii="Arial" w:hAnsi="Arial"/>
          <w:color w:val="404040"/>
          <w:sz w:val="21"/>
        </w:rPr>
        <w:t>BC residents who maintain their primary residence in BC</w:t>
      </w:r>
    </w:p>
    <w:p>
      <w:pPr>
        <w:pStyle w:val="ListBullet"/>
        <w:spacing w:after="60"/>
        <w:ind w:left="360"/>
      </w:pPr>
      <w:r>
        <w:rPr>
          <w:rFonts w:ascii="Arial" w:hAnsi="Arial"/>
          <w:color w:val="404040"/>
          <w:sz w:val="21"/>
        </w:rPr>
        <w:t>Must be registered with MSP and have an active PHN</w:t>
      </w:r>
    </w:p>
    <w:p>
      <w:pPr>
        <w:spacing w:before="0" w:after="120"/>
      </w:pPr>
    </w:p>
    <w:p>
      <w:pPr>
        <w:spacing w:after="120"/>
      </w:pPr>
      <w:r>
        <w:rPr>
          <w:rFonts w:ascii="Arial" w:hAnsi="Arial"/>
          <w:i/>
          <w:color w:val="404040"/>
          <w:sz w:val="21"/>
        </w:rPr>
        <w:t>NOT covered: Tourists, visitors, new residents within the 3-month waiting period, or individuals covered by another province's plan for most services.</w:t>
      </w:r>
    </w:p>
    <w:p>
      <w:pPr>
        <w:spacing w:before="280" w:after="80"/>
      </w:pPr>
      <w:r>
        <w:rPr>
          <w:rFonts w:ascii="Arial" w:hAnsi="Arial"/>
          <w:b/>
          <w:color w:val="2E75B6"/>
          <w:sz w:val="26"/>
        </w:rPr>
        <w:t>The Personal Health Number (PHN)</w:t>
      </w:r>
    </w:p>
    <w:p>
      <w:pPr>
        <w:spacing w:after="120"/>
      </w:pPr>
      <w:r>
        <w:rPr>
          <w:rFonts w:ascii="Arial" w:hAnsi="Arial"/>
          <w:i w:val="0"/>
          <w:color w:val="404040"/>
          <w:sz w:val="21"/>
        </w:rPr>
        <w:t>The PHN is the patient's unique MSP identifier. It is a 10-digit number with a MOD-11 check digit. Every claim requires a valid PHN. Always get the PHN directly from the patient's BC Services Card — not from memory or old records.</w:t>
      </w:r>
    </w:p>
    <w:tbl>
      <w:tblPr>
        <w:tblStyle w:val="TableGrid"/>
        <w:tblW w:type="auto" w:w="0"/>
        <w:jc w:val="left"/>
        <w:tblLook w:firstColumn="1" w:firstRow="1" w:lastColumn="0" w:lastRow="0" w:noHBand="0" w:noVBand="1" w:val="04A0"/>
      </w:tblPr>
      <w:tblGrid>
        <w:gridCol w:w="1296"/>
        <w:gridCol w:w="8064"/>
      </w:tblGrid>
      <w:tr>
        <w:tc>
          <w:tcPr>
            <w:tcW w:type="dxa" w:w="1296"/>
            <w:shd w:val="clear" w:color="auto" w:fill="2E75B6"/>
          </w:tcPr>
          <w:p>
            <w:pPr>
              <w:spacing w:before="80" w:after="80"/>
              <w:jc w:val="center"/>
            </w:pPr>
            <w:r>
              <w:rPr>
                <w:rFonts w:ascii="Arial" w:hAnsi="Arial"/>
                <w:b/>
                <w:color w:val="FFFFFF"/>
                <w:sz w:val="18"/>
              </w:rPr>
              <w:t>TIP</w:t>
            </w:r>
          </w:p>
        </w:tc>
        <w:tc>
          <w:tcPr>
            <w:tcW w:type="dxa" w:w="8064"/>
            <w:shd w:val="clear" w:color="auto" w:fill="DEEAF1"/>
          </w:tcPr>
          <w:p>
            <w:pPr>
              <w:spacing w:before="80" w:after="80"/>
            </w:pPr>
            <w:r>
              <w:rPr>
                <w:rFonts w:ascii="Arial" w:hAnsi="Arial"/>
                <w:color w:val="404040"/>
                <w:sz w:val="20"/>
              </w:rPr>
              <w:t>If a patient cannot produce their BC Services Card, run a real-time eligibility check in Sky Claims before service, or submit a batch eligibility request (B04) the night before a scheduled appointment roster.</w:t>
            </w:r>
          </w:p>
        </w:tc>
      </w:tr>
    </w:tbl>
    <w:p>
      <w:pPr>
        <w:spacing w:before="0" w:after="120"/>
      </w:pPr>
    </w:p>
    <w:p>
      <w:pPr>
        <w:spacing w:before="280" w:after="80"/>
      </w:pPr>
      <w:r>
        <w:rPr>
          <w:rFonts w:ascii="Arial" w:hAnsi="Arial"/>
          <w:b/>
          <w:color w:val="2E75B6"/>
          <w:sz w:val="26"/>
        </w:rPr>
        <w:t>Checking Eligibility</w:t>
      </w:r>
    </w:p>
    <w:p>
      <w:pPr>
        <w:pStyle w:val="ListBullet"/>
        <w:spacing w:after="60"/>
        <w:ind w:left="360"/>
      </w:pPr>
      <w:r>
        <w:rPr>
          <w:rFonts w:ascii="Arial" w:hAnsi="Arial"/>
          <w:color w:val="404040"/>
          <w:sz w:val="21"/>
        </w:rPr>
        <w:t>Real-time Check: Instant response for walk-in or unknown patients. Enter the PHN and get an immediate yes/no. For point-of-service use only — automated or high-volume use is not allowed.</w:t>
      </w:r>
    </w:p>
    <w:p>
      <w:pPr>
        <w:pStyle w:val="ListBullet"/>
        <w:spacing w:after="60"/>
        <w:ind w:left="360"/>
      </w:pPr>
      <w:r>
        <w:rPr>
          <w:rFonts w:ascii="Arial" w:hAnsi="Arial"/>
          <w:color w:val="404040"/>
          <w:sz w:val="21"/>
        </w:rPr>
        <w:t>Batch Eligibility Request (B04): Submit overnight for a list of scheduled patients. Results come back the next morning. This is the preferred and approved method for planned visits and roster checks.</w:t>
      </w:r>
    </w:p>
    <w:p>
      <w:pPr>
        <w:spacing w:before="0" w:after="120"/>
      </w:pPr>
    </w:p>
    <w:tbl>
      <w:tblPr>
        <w:tblStyle w:val="TableGrid"/>
        <w:tblW w:type="auto" w:w="0"/>
        <w:jc w:val="left"/>
        <w:tblLook w:firstColumn="1" w:firstRow="1" w:lastColumn="0" w:lastRow="0" w:noHBand="0" w:noVBand="1" w:val="04A0"/>
      </w:tblPr>
      <w:tblGrid>
        <w:gridCol w:w="1296"/>
        <w:gridCol w:w="8064"/>
      </w:tblGrid>
      <w:tr>
        <w:tc>
          <w:tcPr>
            <w:tcW w:type="dxa" w:w="1296"/>
            <w:shd w:val="clear" w:color="auto" w:fill="2E75B6"/>
          </w:tcPr>
          <w:p>
            <w:pPr>
              <w:spacing w:before="80" w:after="80"/>
              <w:jc w:val="center"/>
            </w:pPr>
            <w:r>
              <w:rPr>
                <w:rFonts w:ascii="Arial" w:hAnsi="Arial"/>
                <w:b/>
                <w:color w:val="FFFFFF"/>
                <w:sz w:val="18"/>
              </w:rPr>
              <w:t>IMPORTANT</w:t>
            </w:r>
          </w:p>
        </w:tc>
        <w:tc>
          <w:tcPr>
            <w:tcW w:type="dxa" w:w="8064"/>
            <w:shd w:val="clear" w:color="auto" w:fill="DEEAF1"/>
          </w:tcPr>
          <w:p>
            <w:pPr>
              <w:spacing w:before="80" w:after="80"/>
            </w:pPr>
            <w:r>
              <w:rPr>
                <w:rFonts w:ascii="Arial" w:hAnsi="Arial"/>
                <w:color w:val="404040"/>
                <w:sz w:val="20"/>
              </w:rPr>
              <w:t>Once a patient is confirmed eligible, that confirmation is honoured through the end of that calendar month. You do not need to re-check the same patient again that month.</w:t>
            </w:r>
          </w:p>
        </w:tc>
      </w:tr>
    </w:tbl>
    <w:p>
      <w:pPr>
        <w:spacing w:before="0" w:after="120"/>
      </w:pPr>
    </w:p>
    <w:p>
      <w:r>
        <w:br w:type="page"/>
      </w:r>
    </w:p>
    <w:p>
      <w:pPr>
        <w:spacing w:before="480" w:after="120"/>
        <w:pBdr>
          <w:bottom w:val="single" w:sz="6" w:color="2E75B6"/>
        </w:pBdr>
      </w:pPr>
      <w:r>
        <w:rPr>
          <w:rFonts w:ascii="Arial" w:hAnsi="Arial"/>
          <w:b/>
          <w:color w:val="1F3864"/>
          <w:sz w:val="36"/>
        </w:rPr>
        <w:t>3.  Onboarding a New Provider</w:t>
      </w:r>
    </w:p>
    <w:p>
      <w:pPr>
        <w:spacing w:after="120"/>
      </w:pPr>
      <w:r>
        <w:rPr>
          <w:rFonts w:ascii="Arial" w:hAnsi="Arial"/>
          <w:i w:val="0"/>
          <w:color w:val="404040"/>
          <w:sz w:val="21"/>
        </w:rPr>
        <w:t>When a new provider joins Sky Claims, gather the following information and complete Teleplan setup before any claims can be submitted.</w:t>
      </w:r>
    </w:p>
    <w:p>
      <w:pPr>
        <w:spacing w:before="280" w:after="80"/>
      </w:pPr>
      <w:r>
        <w:rPr>
          <w:rFonts w:ascii="Arial" w:hAnsi="Arial"/>
          <w:b/>
          <w:color w:val="2E75B6"/>
          <w:sz w:val="26"/>
        </w:rPr>
        <w:t>Information to Collect</w:t>
      </w:r>
    </w:p>
    <w:p>
      <w:pPr>
        <w:pStyle w:val="ListBullet"/>
        <w:spacing w:after="60"/>
        <w:ind w:left="360"/>
      </w:pPr>
      <w:r>
        <w:rPr>
          <w:rFonts w:ascii="Arial" w:hAnsi="Arial"/>
          <w:color w:val="404040"/>
          <w:sz w:val="21"/>
        </w:rPr>
        <w:t>Full legal name and preferred billing name</w:t>
      </w:r>
    </w:p>
    <w:p>
      <w:pPr>
        <w:pStyle w:val="ListBullet"/>
        <w:spacing w:after="60"/>
        <w:ind w:left="360"/>
      </w:pPr>
      <w:r>
        <w:rPr>
          <w:rFonts w:ascii="Arial" w:hAnsi="Arial"/>
          <w:color w:val="404040"/>
          <w:sz w:val="21"/>
        </w:rPr>
        <w:t>MSP Practitioner Number (7 characters, assigned by MSP — e.g., 12345AB)</w:t>
      </w:r>
    </w:p>
    <w:p>
      <w:pPr>
        <w:pStyle w:val="ListBullet"/>
        <w:spacing w:after="60"/>
        <w:ind w:left="360"/>
      </w:pPr>
      <w:r>
        <w:rPr>
          <w:rFonts w:ascii="Arial" w:hAnsi="Arial"/>
          <w:color w:val="404040"/>
          <w:sz w:val="21"/>
        </w:rPr>
        <w:t>Practice type and specialty code</w:t>
      </w:r>
    </w:p>
    <w:p>
      <w:pPr>
        <w:pStyle w:val="ListBullet"/>
        <w:spacing w:after="60"/>
        <w:ind w:left="360"/>
      </w:pPr>
      <w:r>
        <w:rPr>
          <w:rFonts w:ascii="Arial" w:hAnsi="Arial"/>
          <w:color w:val="404040"/>
          <w:sz w:val="21"/>
        </w:rPr>
        <w:t>Clinic address(es) and Practice Location Code (PLC) for each location</w:t>
      </w:r>
    </w:p>
    <w:p>
      <w:pPr>
        <w:pStyle w:val="ListBullet"/>
        <w:spacing w:after="60"/>
        <w:ind w:left="360"/>
      </w:pPr>
      <w:r>
        <w:rPr>
          <w:rFonts w:ascii="Arial" w:hAnsi="Arial"/>
          <w:color w:val="404040"/>
          <w:sz w:val="21"/>
        </w:rPr>
        <w:t>Bank account information for EFT payment setup</w:t>
      </w:r>
    </w:p>
    <w:p>
      <w:pPr>
        <w:pStyle w:val="ListBullet"/>
        <w:spacing w:after="60"/>
        <w:ind w:left="360"/>
      </w:pPr>
      <w:r>
        <w:rPr>
          <w:rFonts w:ascii="Arial" w:hAnsi="Arial"/>
          <w:color w:val="404040"/>
          <w:sz w:val="21"/>
        </w:rPr>
        <w:t>Whether the provider is opted-in or opted-out of MSP</w:t>
      </w:r>
    </w:p>
    <w:p>
      <w:pPr>
        <w:spacing w:before="280" w:after="80"/>
      </w:pPr>
      <w:r>
        <w:rPr>
          <w:rFonts w:ascii="Arial" w:hAnsi="Arial"/>
          <w:b/>
          <w:color w:val="2E75B6"/>
          <w:sz w:val="26"/>
        </w:rPr>
        <w:t>Setting Up in Teleplan</w:t>
      </w:r>
    </w:p>
    <w:p>
      <w:pPr>
        <w:spacing w:after="120"/>
      </w:pPr>
      <w:r>
        <w:rPr>
          <w:rFonts w:ascii="Arial" w:hAnsi="Arial"/>
          <w:i w:val="0"/>
          <w:color w:val="404040"/>
          <w:sz w:val="21"/>
        </w:rPr>
        <w:t>Each provider needs a Data Centre ID (DC ID) issued by MSP — separate from their Practitioner Number. The DC ID is the Teleplan login credential.</w:t>
      </w:r>
    </w:p>
    <w:p>
      <w:pPr>
        <w:pStyle w:val="ListBullet"/>
        <w:spacing w:after="60"/>
        <w:ind w:left="360"/>
      </w:pPr>
      <w:r>
        <w:rPr>
          <w:rFonts w:ascii="Arial" w:hAnsi="Arial"/>
          <w:color w:val="404040"/>
          <w:sz w:val="21"/>
        </w:rPr>
        <w:t>Contact Teleplan Support to request a new DC ID for the provider</w:t>
      </w:r>
    </w:p>
    <w:p>
      <w:pPr>
        <w:pStyle w:val="ListBullet"/>
        <w:spacing w:after="60"/>
        <w:ind w:left="360"/>
      </w:pPr>
      <w:r>
        <w:rPr>
          <w:rFonts w:ascii="Arial" w:hAnsi="Arial"/>
          <w:color w:val="404040"/>
          <w:sz w:val="21"/>
        </w:rPr>
        <w:t>Set up their password (expires every 42 days — set a reminder)</w:t>
      </w:r>
    </w:p>
    <w:p>
      <w:pPr>
        <w:pStyle w:val="ListBullet"/>
        <w:spacing w:after="60"/>
        <w:ind w:left="360"/>
      </w:pPr>
      <w:r>
        <w:rPr>
          <w:rFonts w:ascii="Arial" w:hAnsi="Arial"/>
          <w:color w:val="404040"/>
          <w:sz w:val="21"/>
        </w:rPr>
        <w:t>Configure Sky Claims to use their DC ID and Practitioner Number for submissions</w:t>
      </w:r>
    </w:p>
    <w:p>
      <w:pPr>
        <w:pStyle w:val="ListBullet"/>
        <w:spacing w:after="60"/>
        <w:ind w:left="360"/>
      </w:pPr>
      <w:r>
        <w:rPr>
          <w:rFonts w:ascii="Arial" w:hAnsi="Arial"/>
          <w:color w:val="404040"/>
          <w:sz w:val="21"/>
        </w:rPr>
        <w:t>Test with a small submission and confirm no transmission errors</w:t>
      </w:r>
    </w:p>
    <w:p>
      <w:pPr>
        <w:spacing w:before="0" w:after="120"/>
      </w:pPr>
    </w:p>
    <w:tbl>
      <w:tblPr>
        <w:tblStyle w:val="TableGrid"/>
        <w:tblW w:type="auto" w:w="0"/>
        <w:jc w:val="left"/>
        <w:tblLook w:firstColumn="1" w:firstRow="1" w:lastColumn="0" w:lastRow="0" w:noHBand="0" w:noVBand="1" w:val="04A0"/>
      </w:tblPr>
      <w:tblGrid>
        <w:gridCol w:w="1296"/>
        <w:gridCol w:w="8064"/>
      </w:tblGrid>
      <w:tr>
        <w:tc>
          <w:tcPr>
            <w:tcW w:type="dxa" w:w="1296"/>
            <w:shd w:val="clear" w:color="auto" w:fill="2E75B6"/>
          </w:tcPr>
          <w:p>
            <w:pPr>
              <w:spacing w:before="80" w:after="80"/>
              <w:jc w:val="center"/>
            </w:pPr>
            <w:r>
              <w:rPr>
                <w:rFonts w:ascii="Arial" w:hAnsi="Arial"/>
                <w:b/>
                <w:color w:val="FFFFFF"/>
                <w:sz w:val="18"/>
              </w:rPr>
              <w:t>GOTCHA</w:t>
            </w:r>
          </w:p>
        </w:tc>
        <w:tc>
          <w:tcPr>
            <w:tcW w:type="dxa" w:w="8064"/>
            <w:shd w:val="clear" w:color="auto" w:fill="DEEAF1"/>
          </w:tcPr>
          <w:p>
            <w:pPr>
              <w:spacing w:before="80" w:after="80"/>
            </w:pPr>
            <w:r>
              <w:rPr>
                <w:rFonts w:ascii="Arial" w:hAnsi="Arial"/>
                <w:color w:val="404040"/>
                <w:sz w:val="20"/>
              </w:rPr>
              <w:t>The Teleplan password is separate from the provider's internet service provider (ISP) password. When they ask to reset their login, confirm which one they mean. Teleplan Support handles DC password resets only.</w:t>
            </w:r>
          </w:p>
        </w:tc>
      </w:tr>
    </w:tbl>
    <w:p>
      <w:pPr>
        <w:spacing w:before="0" w:after="120"/>
      </w:pPr>
    </w:p>
    <w:p>
      <w:pPr>
        <w:spacing w:before="280" w:after="80"/>
      </w:pPr>
      <w:r>
        <w:rPr>
          <w:rFonts w:ascii="Arial" w:hAnsi="Arial"/>
          <w:b/>
          <w:color w:val="2E75B6"/>
          <w:sz w:val="26"/>
        </w:rPr>
        <w:t>Opted-Out Providers</w:t>
      </w:r>
    </w:p>
    <w:p>
      <w:pPr>
        <w:spacing w:after="120"/>
      </w:pPr>
      <w:r>
        <w:rPr>
          <w:rFonts w:ascii="Arial" w:hAnsi="Arial"/>
          <w:i w:val="0"/>
          <w:color w:val="404040"/>
          <w:sz w:val="21"/>
        </w:rPr>
        <w:t>Physicians and allied health practitioners can opt out of MSP. Opted-out providers bill patients directly — MSP does not pay them. Do NOT enroll opted-out providers for MSP billing. Note this status clearly in their Sky Claims profile.</w:t>
      </w:r>
    </w:p>
    <w:p>
      <w:r>
        <w:br w:type="page"/>
      </w:r>
    </w:p>
    <w:p>
      <w:pPr>
        <w:spacing w:before="480" w:after="120"/>
        <w:pBdr>
          <w:bottom w:val="single" w:sz="6" w:color="2E75B6"/>
        </w:pBdr>
      </w:pPr>
      <w:r>
        <w:rPr>
          <w:rFonts w:ascii="Arial" w:hAnsi="Arial"/>
          <w:b/>
          <w:color w:val="1F3864"/>
          <w:sz w:val="36"/>
        </w:rPr>
        <w:t>4.  Claim Concepts</w:t>
      </w:r>
    </w:p>
    <w:p>
      <w:pPr>
        <w:spacing w:before="280" w:after="80"/>
      </w:pPr>
      <w:r>
        <w:rPr>
          <w:rFonts w:ascii="Arial" w:hAnsi="Arial"/>
          <w:b/>
          <w:color w:val="2E75B6"/>
          <w:sz w:val="26"/>
        </w:rPr>
        <w:t>Teleplan Record Types</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864"/>
          </w:tcPr>
          <w:p>
            <w:pPr>
              <w:spacing w:before="60" w:after="60"/>
            </w:pPr>
            <w:r>
              <w:rPr>
                <w:rFonts w:ascii="Arial" w:hAnsi="Arial"/>
                <w:b/>
                <w:color w:val="FFFFFF"/>
                <w:sz w:val="19"/>
              </w:rPr>
              <w:t>Record</w:t>
            </w:r>
          </w:p>
        </w:tc>
        <w:tc>
          <w:tcPr>
            <w:tcW w:type="dxa" w:w="2448"/>
            <w:shd w:val="clear" w:color="auto" w:fill="1F3864"/>
          </w:tcPr>
          <w:p>
            <w:pPr>
              <w:spacing w:before="60" w:after="60"/>
            </w:pPr>
            <w:r>
              <w:rPr>
                <w:rFonts w:ascii="Arial" w:hAnsi="Arial"/>
                <w:b/>
                <w:color w:val="FFFFFF"/>
                <w:sz w:val="19"/>
              </w:rPr>
              <w:t>Name</w:t>
            </w:r>
          </w:p>
        </w:tc>
        <w:tc>
          <w:tcPr>
            <w:tcW w:type="dxa" w:w="5904"/>
            <w:shd w:val="clear" w:color="auto" w:fill="1F3864"/>
          </w:tcPr>
          <w:p>
            <w:pPr>
              <w:spacing w:before="60" w:after="60"/>
            </w:pPr>
            <w:r>
              <w:rPr>
                <w:rFonts w:ascii="Arial" w:hAnsi="Arial"/>
                <w:b/>
                <w:color w:val="FFFFFF"/>
                <w:sz w:val="19"/>
              </w:rPr>
              <w:t>What It Does</w:t>
            </w:r>
          </w:p>
        </w:tc>
      </w:tr>
      <w:tr>
        <w:tc>
          <w:tcPr>
            <w:tcW w:type="dxa" w:w="1008"/>
            <w:shd w:val="clear" w:color="auto" w:fill="FFFFFF"/>
          </w:tcPr>
          <w:p>
            <w:pPr>
              <w:spacing w:before="60" w:after="60"/>
            </w:pPr>
            <w:r>
              <w:rPr>
                <w:rFonts w:ascii="Arial" w:hAnsi="Arial"/>
                <w:color w:val="404040"/>
                <w:sz w:val="19"/>
              </w:rPr>
              <w:t>C02</w:t>
            </w:r>
          </w:p>
        </w:tc>
        <w:tc>
          <w:tcPr>
            <w:tcW w:type="dxa" w:w="2448"/>
            <w:shd w:val="clear" w:color="auto" w:fill="FFFFFF"/>
          </w:tcPr>
          <w:p>
            <w:pPr>
              <w:spacing w:before="60" w:after="60"/>
            </w:pPr>
            <w:r>
              <w:rPr>
                <w:rFonts w:ascii="Arial" w:hAnsi="Arial"/>
                <w:color w:val="404040"/>
                <w:sz w:val="19"/>
              </w:rPr>
              <w:t>Medical Claim</w:t>
            </w:r>
          </w:p>
        </w:tc>
        <w:tc>
          <w:tcPr>
            <w:tcW w:type="dxa" w:w="5904"/>
            <w:shd w:val="clear" w:color="auto" w:fill="FFFFFF"/>
          </w:tcPr>
          <w:p>
            <w:pPr>
              <w:spacing w:before="60" w:after="60"/>
            </w:pPr>
            <w:r>
              <w:rPr>
                <w:rFonts w:ascii="Arial" w:hAnsi="Arial"/>
                <w:color w:val="404040"/>
                <w:sz w:val="19"/>
              </w:rPr>
              <w:t>The main claim record — one per service line per patient visit</w:t>
            </w:r>
          </w:p>
        </w:tc>
      </w:tr>
      <w:tr>
        <w:tc>
          <w:tcPr>
            <w:tcW w:type="dxa" w:w="1008"/>
            <w:shd w:val="clear" w:color="auto" w:fill="F2F2F2"/>
          </w:tcPr>
          <w:p>
            <w:pPr>
              <w:spacing w:before="60" w:after="60"/>
            </w:pPr>
            <w:r>
              <w:rPr>
                <w:rFonts w:ascii="Arial" w:hAnsi="Arial"/>
                <w:color w:val="404040"/>
                <w:sz w:val="19"/>
              </w:rPr>
              <w:t>B04</w:t>
            </w:r>
          </w:p>
        </w:tc>
        <w:tc>
          <w:tcPr>
            <w:tcW w:type="dxa" w:w="2448"/>
            <w:shd w:val="clear" w:color="auto" w:fill="F2F2F2"/>
          </w:tcPr>
          <w:p>
            <w:pPr>
              <w:spacing w:before="60" w:after="60"/>
            </w:pPr>
            <w:r>
              <w:rPr>
                <w:rFonts w:ascii="Arial" w:hAnsi="Arial"/>
                <w:color w:val="404040"/>
                <w:sz w:val="19"/>
              </w:rPr>
              <w:t>Batch Eligibility Request</w:t>
            </w:r>
          </w:p>
        </w:tc>
        <w:tc>
          <w:tcPr>
            <w:tcW w:type="dxa" w:w="5904"/>
            <w:shd w:val="clear" w:color="auto" w:fill="F2F2F2"/>
          </w:tcPr>
          <w:p>
            <w:pPr>
              <w:spacing w:before="60" w:after="60"/>
            </w:pPr>
            <w:r>
              <w:rPr>
                <w:rFonts w:ascii="Arial" w:hAnsi="Arial"/>
                <w:color w:val="404040"/>
                <w:sz w:val="19"/>
              </w:rPr>
              <w:t>Check eligibility for a list of patients overnight</w:t>
            </w:r>
          </w:p>
        </w:tc>
      </w:tr>
      <w:tr>
        <w:tc>
          <w:tcPr>
            <w:tcW w:type="dxa" w:w="1008"/>
            <w:shd w:val="clear" w:color="auto" w:fill="FFFFFF"/>
          </w:tcPr>
          <w:p>
            <w:pPr>
              <w:spacing w:before="60" w:after="60"/>
            </w:pPr>
            <w:r>
              <w:rPr>
                <w:rFonts w:ascii="Arial" w:hAnsi="Arial"/>
                <w:color w:val="404040"/>
                <w:sz w:val="19"/>
              </w:rPr>
              <w:t>N01</w:t>
            </w:r>
          </w:p>
        </w:tc>
        <w:tc>
          <w:tcPr>
            <w:tcW w:type="dxa" w:w="2448"/>
            <w:shd w:val="clear" w:color="auto" w:fill="FFFFFF"/>
          </w:tcPr>
          <w:p>
            <w:pPr>
              <w:spacing w:before="60" w:after="60"/>
            </w:pPr>
            <w:r>
              <w:rPr>
                <w:rFonts w:ascii="Arial" w:hAnsi="Arial"/>
                <w:color w:val="404040"/>
                <w:sz w:val="19"/>
              </w:rPr>
              <w:t>Note Record</w:t>
            </w:r>
          </w:p>
        </w:tc>
        <w:tc>
          <w:tcPr>
            <w:tcW w:type="dxa" w:w="5904"/>
            <w:shd w:val="clear" w:color="auto" w:fill="FFFFFF"/>
          </w:tcPr>
          <w:p>
            <w:pPr>
              <w:spacing w:before="60" w:after="60"/>
            </w:pPr>
            <w:r>
              <w:rPr>
                <w:rFonts w:ascii="Arial" w:hAnsi="Arial"/>
                <w:color w:val="404040"/>
                <w:sz w:val="19"/>
              </w:rPr>
              <w:t>Attach a clinical note or justification to a claim</w:t>
            </w:r>
          </w:p>
        </w:tc>
      </w:tr>
      <w:tr>
        <w:tc>
          <w:tcPr>
            <w:tcW w:type="dxa" w:w="1008"/>
            <w:shd w:val="clear" w:color="auto" w:fill="F2F2F2"/>
          </w:tcPr>
          <w:p>
            <w:pPr>
              <w:spacing w:before="60" w:after="60"/>
            </w:pPr>
            <w:r>
              <w:rPr>
                <w:rFonts w:ascii="Arial" w:hAnsi="Arial"/>
                <w:color w:val="404040"/>
                <w:sz w:val="19"/>
              </w:rPr>
              <w:t>VS1</w:t>
            </w:r>
          </w:p>
        </w:tc>
        <w:tc>
          <w:tcPr>
            <w:tcW w:type="dxa" w:w="2448"/>
            <w:shd w:val="clear" w:color="auto" w:fill="F2F2F2"/>
          </w:tcPr>
          <w:p>
            <w:pPr>
              <w:spacing w:before="60" w:after="60"/>
            </w:pPr>
            <w:r>
              <w:rPr>
                <w:rFonts w:ascii="Arial" w:hAnsi="Arial"/>
                <w:color w:val="404040"/>
                <w:sz w:val="19"/>
              </w:rPr>
              <w:t>Vendor Submission Control</w:t>
            </w:r>
          </w:p>
        </w:tc>
        <w:tc>
          <w:tcPr>
            <w:tcW w:type="dxa" w:w="5904"/>
            <w:shd w:val="clear" w:color="auto" w:fill="F2F2F2"/>
          </w:tcPr>
          <w:p>
            <w:pPr>
              <w:spacing w:before="60" w:after="60"/>
            </w:pPr>
            <w:r>
              <w:rPr>
                <w:rFonts w:ascii="Arial" w:hAnsi="Arial"/>
                <w:color w:val="404040"/>
                <w:sz w:val="19"/>
              </w:rPr>
              <w:t>Mandatory header identifying the software and data centre — Sky Claims adds this automatically</w:t>
            </w:r>
          </w:p>
        </w:tc>
      </w:tr>
    </w:tbl>
    <w:p>
      <w:pPr>
        <w:spacing w:before="0" w:after="160"/>
      </w:pPr>
    </w:p>
    <w:p>
      <w:pPr>
        <w:spacing w:before="280" w:after="80"/>
      </w:pPr>
      <w:r>
        <w:rPr>
          <w:rFonts w:ascii="Arial" w:hAnsi="Arial"/>
          <w:b/>
          <w:color w:val="2E75B6"/>
          <w:sz w:val="26"/>
        </w:rPr>
        <w:t>Key Fields in a Claim (C02)</w:t>
      </w:r>
    </w:p>
    <w:p>
      <w:pPr>
        <w:spacing w:after="120"/>
      </w:pPr>
      <w:r>
        <w:rPr>
          <w:rFonts w:ascii="Arial" w:hAnsi="Arial"/>
          <w:i w:val="0"/>
          <w:color w:val="404040"/>
          <w:sz w:val="21"/>
        </w:rPr>
        <w:t>Staff don't fill in claims directly, but understanding these fields helps when troubleshooting refusals or answering provider questions.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864"/>
          </w:tcPr>
          <w:p>
            <w:pPr>
              <w:spacing w:before="60" w:after="60"/>
            </w:pPr>
            <w:r>
              <w:rPr>
                <w:rFonts w:ascii="Arial" w:hAnsi="Arial"/>
                <w:b/>
                <w:color w:val="FFFFFF"/>
                <w:sz w:val="19"/>
              </w:rPr>
              <w:t>Field</w:t>
            </w:r>
          </w:p>
        </w:tc>
        <w:tc>
          <w:tcPr>
            <w:tcW w:type="dxa" w:w="6480"/>
            <w:shd w:val="clear" w:color="auto" w:fill="1F3864"/>
          </w:tcPr>
          <w:p>
            <w:pPr>
              <w:spacing w:before="60" w:after="60"/>
            </w:pPr>
            <w:r>
              <w:rPr>
                <w:rFonts w:ascii="Arial" w:hAnsi="Arial"/>
                <w:b/>
                <w:color w:val="FFFFFF"/>
                <w:sz w:val="19"/>
              </w:rPr>
              <w:t>Plain Language Meaning</w:t>
            </w:r>
          </w:p>
        </w:tc>
      </w:tr>
      <w:tr>
        <w:tc>
          <w:tcPr>
            <w:tcW w:type="dxa" w:w="2880"/>
            <w:shd w:val="clear" w:color="auto" w:fill="FFFFFF"/>
          </w:tcPr>
          <w:p>
            <w:pPr>
              <w:spacing w:before="60" w:after="60"/>
            </w:pPr>
            <w:r>
              <w:rPr>
                <w:rFonts w:ascii="Arial" w:hAnsi="Arial"/>
                <w:color w:val="404040"/>
                <w:sz w:val="19"/>
              </w:rPr>
              <w:t>Service Provider Number</w:t>
            </w:r>
          </w:p>
        </w:tc>
        <w:tc>
          <w:tcPr>
            <w:tcW w:type="dxa" w:w="6480"/>
            <w:shd w:val="clear" w:color="auto" w:fill="FFFFFF"/>
          </w:tcPr>
          <w:p>
            <w:pPr>
              <w:spacing w:before="60" w:after="60"/>
            </w:pPr>
            <w:r>
              <w:rPr>
                <w:rFonts w:ascii="Arial" w:hAnsi="Arial"/>
                <w:color w:val="404040"/>
                <w:sz w:val="19"/>
              </w:rPr>
              <w:t>The practitioner's MSP number — must match exactly what MSP has on file</w:t>
            </w:r>
          </w:p>
        </w:tc>
      </w:tr>
      <w:tr>
        <w:tc>
          <w:tcPr>
            <w:tcW w:type="dxa" w:w="2880"/>
            <w:shd w:val="clear" w:color="auto" w:fill="F2F2F2"/>
          </w:tcPr>
          <w:p>
            <w:pPr>
              <w:spacing w:before="60" w:after="60"/>
            </w:pPr>
            <w:r>
              <w:rPr>
                <w:rFonts w:ascii="Arial" w:hAnsi="Arial"/>
                <w:color w:val="404040"/>
                <w:sz w:val="19"/>
              </w:rPr>
              <w:t>PHN</w:t>
            </w:r>
          </w:p>
        </w:tc>
        <w:tc>
          <w:tcPr>
            <w:tcW w:type="dxa" w:w="6480"/>
            <w:shd w:val="clear" w:color="auto" w:fill="F2F2F2"/>
          </w:tcPr>
          <w:p>
            <w:pPr>
              <w:spacing w:before="60" w:after="60"/>
            </w:pPr>
            <w:r>
              <w:rPr>
                <w:rFonts w:ascii="Arial" w:hAnsi="Arial"/>
                <w:color w:val="404040"/>
                <w:sz w:val="19"/>
              </w:rPr>
              <w:t>Patient's Personal Health Number — 10 digits</w:t>
            </w:r>
          </w:p>
        </w:tc>
      </w:tr>
      <w:tr>
        <w:tc>
          <w:tcPr>
            <w:tcW w:type="dxa" w:w="2880"/>
            <w:shd w:val="clear" w:color="auto" w:fill="FFFFFF"/>
          </w:tcPr>
          <w:p>
            <w:pPr>
              <w:spacing w:before="60" w:after="60"/>
            </w:pPr>
            <w:r>
              <w:rPr>
                <w:rFonts w:ascii="Arial" w:hAnsi="Arial"/>
                <w:color w:val="404040"/>
                <w:sz w:val="19"/>
              </w:rPr>
              <w:t>Service Date</w:t>
            </w:r>
          </w:p>
        </w:tc>
        <w:tc>
          <w:tcPr>
            <w:tcW w:type="dxa" w:w="6480"/>
            <w:shd w:val="clear" w:color="auto" w:fill="FFFFFF"/>
          </w:tcPr>
          <w:p>
            <w:pPr>
              <w:spacing w:before="60" w:after="60"/>
            </w:pPr>
            <w:r>
              <w:rPr>
                <w:rFonts w:ascii="Arial" w:hAnsi="Arial"/>
                <w:color w:val="404040"/>
                <w:sz w:val="19"/>
              </w:rPr>
              <w:t>Date the service was actually provided (format: YYYYMMDD)</w:t>
            </w:r>
          </w:p>
        </w:tc>
      </w:tr>
      <w:tr>
        <w:tc>
          <w:tcPr>
            <w:tcW w:type="dxa" w:w="2880"/>
            <w:shd w:val="clear" w:color="auto" w:fill="F2F2F2"/>
          </w:tcPr>
          <w:p>
            <w:pPr>
              <w:spacing w:before="60" w:after="60"/>
            </w:pPr>
            <w:r>
              <w:rPr>
                <w:rFonts w:ascii="Arial" w:hAnsi="Arial"/>
                <w:color w:val="404040"/>
                <w:sz w:val="19"/>
              </w:rPr>
              <w:t>Service Code / Fee Item</w:t>
            </w:r>
          </w:p>
        </w:tc>
        <w:tc>
          <w:tcPr>
            <w:tcW w:type="dxa" w:w="6480"/>
            <w:shd w:val="clear" w:color="auto" w:fill="F2F2F2"/>
          </w:tcPr>
          <w:p>
            <w:pPr>
              <w:spacing w:before="60" w:after="60"/>
            </w:pPr>
            <w:r>
              <w:rPr>
                <w:rFonts w:ascii="Arial" w:hAnsi="Arial"/>
                <w:color w:val="404040"/>
                <w:sz w:val="19"/>
              </w:rPr>
              <w:t>Identifies exactly what service was performed (from MSP's Schedule of Benefits)</w:t>
            </w:r>
          </w:p>
        </w:tc>
      </w:tr>
      <w:tr>
        <w:tc>
          <w:tcPr>
            <w:tcW w:type="dxa" w:w="2880"/>
            <w:shd w:val="clear" w:color="auto" w:fill="FFFFFF"/>
          </w:tcPr>
          <w:p>
            <w:pPr>
              <w:spacing w:before="60" w:after="60"/>
            </w:pPr>
            <w:r>
              <w:rPr>
                <w:rFonts w:ascii="Arial" w:hAnsi="Arial"/>
                <w:color w:val="404040"/>
                <w:sz w:val="19"/>
              </w:rPr>
              <w:t>Diagnosis Code (ICD-9)</w:t>
            </w:r>
          </w:p>
        </w:tc>
        <w:tc>
          <w:tcPr>
            <w:tcW w:type="dxa" w:w="6480"/>
            <w:shd w:val="clear" w:color="auto" w:fill="FFFFFF"/>
          </w:tcPr>
          <w:p>
            <w:pPr>
              <w:spacing w:before="60" w:after="60"/>
            </w:pPr>
            <w:r>
              <w:rPr>
                <w:rFonts w:ascii="Arial" w:hAnsi="Arial"/>
                <w:color w:val="404040"/>
                <w:sz w:val="19"/>
              </w:rPr>
              <w:t>The diagnosis that justified the service — 3 to 5 digit code</w:t>
            </w:r>
          </w:p>
        </w:tc>
      </w:tr>
      <w:tr>
        <w:tc>
          <w:tcPr>
            <w:tcW w:type="dxa" w:w="2880"/>
            <w:shd w:val="clear" w:color="auto" w:fill="F2F2F2"/>
          </w:tcPr>
          <w:p>
            <w:pPr>
              <w:spacing w:before="60" w:after="60"/>
            </w:pPr>
            <w:r>
              <w:rPr>
                <w:rFonts w:ascii="Arial" w:hAnsi="Arial"/>
                <w:color w:val="404040"/>
                <w:sz w:val="19"/>
              </w:rPr>
              <w:t>Practice Location Code</w:t>
            </w:r>
          </w:p>
        </w:tc>
        <w:tc>
          <w:tcPr>
            <w:tcW w:type="dxa" w:w="6480"/>
            <w:shd w:val="clear" w:color="auto" w:fill="F2F2F2"/>
          </w:tcPr>
          <w:p>
            <w:pPr>
              <w:spacing w:before="60" w:after="60"/>
            </w:pPr>
            <w:r>
              <w:rPr>
                <w:rFonts w:ascii="Arial" w:hAnsi="Arial"/>
                <w:color w:val="404040"/>
                <w:sz w:val="19"/>
              </w:rPr>
              <w:t>Where the service was provided — different PLCs have different fee amounts</w:t>
            </w:r>
          </w:p>
        </w:tc>
      </w:tr>
      <w:tr>
        <w:tc>
          <w:tcPr>
            <w:tcW w:type="dxa" w:w="2880"/>
            <w:shd w:val="clear" w:color="auto" w:fill="FFFFFF"/>
          </w:tcPr>
          <w:p>
            <w:pPr>
              <w:spacing w:before="60" w:after="60"/>
            </w:pPr>
            <w:r>
              <w:rPr>
                <w:rFonts w:ascii="Arial" w:hAnsi="Arial"/>
                <w:color w:val="404040"/>
                <w:sz w:val="19"/>
              </w:rPr>
              <w:t>Number of Services</w:t>
            </w:r>
          </w:p>
        </w:tc>
        <w:tc>
          <w:tcPr>
            <w:tcW w:type="dxa" w:w="6480"/>
            <w:shd w:val="clear" w:color="auto" w:fill="FFFFFF"/>
          </w:tcPr>
          <w:p>
            <w:pPr>
              <w:spacing w:before="60" w:after="60"/>
            </w:pPr>
            <w:r>
              <w:rPr>
                <w:rFonts w:ascii="Arial" w:hAnsi="Arial"/>
                <w:color w:val="404040"/>
                <w:sz w:val="19"/>
              </w:rPr>
              <w:t>How many times the service was provided in this claim (usually 1)</w:t>
            </w:r>
          </w:p>
        </w:tc>
      </w:tr>
      <w:tr>
        <w:tc>
          <w:tcPr>
            <w:tcW w:type="dxa" w:w="2880"/>
            <w:shd w:val="clear" w:color="auto" w:fill="F2F2F2"/>
          </w:tcPr>
          <w:p>
            <w:pPr>
              <w:spacing w:before="60" w:after="60"/>
            </w:pPr>
            <w:r>
              <w:rPr>
                <w:rFonts w:ascii="Arial" w:hAnsi="Arial"/>
                <w:color w:val="404040"/>
                <w:sz w:val="19"/>
              </w:rPr>
              <w:t>Facility Number</w:t>
            </w:r>
          </w:p>
        </w:tc>
        <w:tc>
          <w:tcPr>
            <w:tcW w:type="dxa" w:w="6480"/>
            <w:shd w:val="clear" w:color="auto" w:fill="F2F2F2"/>
          </w:tcPr>
          <w:p>
            <w:pPr>
              <w:spacing w:before="60" w:after="60"/>
            </w:pPr>
            <w:r>
              <w:rPr>
                <w:rFonts w:ascii="Arial" w:hAnsi="Arial"/>
                <w:color w:val="404040"/>
                <w:sz w:val="19"/>
              </w:rPr>
              <w:t>If service was at a hospital or clinic, the MSP facility number</w:t>
            </w:r>
          </w:p>
        </w:tc>
      </w:tr>
      <w:tr>
        <w:tc>
          <w:tcPr>
            <w:tcW w:type="dxa" w:w="2880"/>
            <w:shd w:val="clear" w:color="auto" w:fill="FFFFFF"/>
          </w:tcPr>
          <w:p>
            <w:pPr>
              <w:spacing w:before="60" w:after="60"/>
            </w:pPr>
            <w:r>
              <w:rPr>
                <w:rFonts w:ascii="Arial" w:hAnsi="Arial"/>
                <w:color w:val="404040"/>
                <w:sz w:val="19"/>
              </w:rPr>
              <w:t>Referral Flag</w:t>
            </w:r>
          </w:p>
        </w:tc>
        <w:tc>
          <w:tcPr>
            <w:tcW w:type="dxa" w:w="6480"/>
            <w:shd w:val="clear" w:color="auto" w:fill="FFFFFF"/>
          </w:tcPr>
          <w:p>
            <w:pPr>
              <w:spacing w:before="60" w:after="60"/>
            </w:pPr>
            <w:r>
              <w:rPr>
                <w:rFonts w:ascii="Arial" w:hAnsi="Arial"/>
                <w:color w:val="404040"/>
                <w:sz w:val="19"/>
              </w:rPr>
              <w:t>Was this a referred service? Certain services require a referral to be paid</w:t>
            </w:r>
          </w:p>
        </w:tc>
      </w:tr>
      <w:tr>
        <w:tc>
          <w:tcPr>
            <w:tcW w:type="dxa" w:w="2880"/>
            <w:shd w:val="clear" w:color="auto" w:fill="F2F2F2"/>
          </w:tcPr>
          <w:p>
            <w:pPr>
              <w:spacing w:before="60" w:after="60"/>
            </w:pPr>
            <w:r>
              <w:rPr>
                <w:rFonts w:ascii="Arial" w:hAnsi="Arial"/>
                <w:color w:val="404040"/>
                <w:sz w:val="19"/>
              </w:rPr>
              <w:t>Data Centre Sequence No.</w:t>
            </w:r>
          </w:p>
        </w:tc>
        <w:tc>
          <w:tcPr>
            <w:tcW w:type="dxa" w:w="6480"/>
            <w:shd w:val="clear" w:color="auto" w:fill="F2F2F2"/>
          </w:tcPr>
          <w:p>
            <w:pPr>
              <w:spacing w:before="60" w:after="60"/>
            </w:pPr>
            <w:r>
              <w:rPr>
                <w:rFonts w:ascii="Arial" w:hAnsi="Arial"/>
                <w:color w:val="404040"/>
                <w:sz w:val="19"/>
              </w:rPr>
              <w:t>Auto-generated number that must be sequential — gaps cause transmission errors</w:t>
            </w:r>
          </w:p>
        </w:tc>
      </w:tr>
    </w:tbl>
    <w:p>
      <w:pPr>
        <w:spacing w:before="0" w:after="160"/>
      </w:pPr>
    </w:p>
    <w:p>
      <w:pPr>
        <w:spacing w:before="280" w:after="80"/>
      </w:pPr>
      <w:r>
        <w:rPr>
          <w:rFonts w:ascii="Arial" w:hAnsi="Arial"/>
          <w:b/>
          <w:color w:val="2E75B6"/>
          <w:sz w:val="26"/>
        </w:rPr>
        <w:t>Claim Categories</w:t>
      </w:r>
    </w:p>
    <w:p>
      <w:pPr>
        <w:spacing w:after="120"/>
      </w:pPr>
      <w:r>
        <w:rPr>
          <w:rFonts w:ascii="Arial" w:hAnsi="Arial"/>
          <w:i w:val="0"/>
          <w:color w:val="404040"/>
          <w:sz w:val="21"/>
        </w:rPr>
        <w:t>Teleplan handles several payer categories. The most common ones Sky Claims staff will encounter:</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F3864"/>
          </w:tcPr>
          <w:p>
            <w:pPr>
              <w:spacing w:before="60" w:after="60"/>
            </w:pPr>
            <w:r>
              <w:rPr>
                <w:rFonts w:ascii="Arial" w:hAnsi="Arial"/>
                <w:b/>
                <w:color w:val="FFFFFF"/>
                <w:sz w:val="19"/>
              </w:rPr>
              <w:t>Category</w:t>
            </w:r>
          </w:p>
        </w:tc>
        <w:tc>
          <w:tcPr>
            <w:tcW w:type="dxa" w:w="2448"/>
            <w:shd w:val="clear" w:color="auto" w:fill="1F3864"/>
          </w:tcPr>
          <w:p>
            <w:pPr>
              <w:spacing w:before="60" w:after="60"/>
            </w:pPr>
            <w:r>
              <w:rPr>
                <w:rFonts w:ascii="Arial" w:hAnsi="Arial"/>
                <w:b/>
                <w:color w:val="FFFFFF"/>
                <w:sz w:val="19"/>
              </w:rPr>
              <w:t>Who Pays</w:t>
            </w:r>
          </w:p>
        </w:tc>
        <w:tc>
          <w:tcPr>
            <w:tcW w:type="dxa" w:w="5184"/>
            <w:shd w:val="clear" w:color="auto" w:fill="1F3864"/>
          </w:tcPr>
          <w:p>
            <w:pPr>
              <w:spacing w:before="60" w:after="60"/>
            </w:pPr>
            <w:r>
              <w:rPr>
                <w:rFonts w:ascii="Arial" w:hAnsi="Arial"/>
                <w:b/>
                <w:color w:val="FFFFFF"/>
                <w:sz w:val="19"/>
              </w:rPr>
              <w:t>Common Scenario</w:t>
            </w:r>
          </w:p>
        </w:tc>
      </w:tr>
      <w:tr>
        <w:tc>
          <w:tcPr>
            <w:tcW w:type="dxa" w:w="1728"/>
            <w:shd w:val="clear" w:color="auto" w:fill="FFFFFF"/>
          </w:tcPr>
          <w:p>
            <w:pPr>
              <w:spacing w:before="60" w:after="60"/>
            </w:pPr>
            <w:r>
              <w:rPr>
                <w:rFonts w:ascii="Arial" w:hAnsi="Arial"/>
                <w:color w:val="404040"/>
                <w:sz w:val="19"/>
              </w:rPr>
              <w:t>MSP (Cat 1)</w:t>
            </w:r>
          </w:p>
        </w:tc>
        <w:tc>
          <w:tcPr>
            <w:tcW w:type="dxa" w:w="2448"/>
            <w:shd w:val="clear" w:color="auto" w:fill="FFFFFF"/>
          </w:tcPr>
          <w:p>
            <w:pPr>
              <w:spacing w:before="60" w:after="60"/>
            </w:pPr>
            <w:r>
              <w:rPr>
                <w:rFonts w:ascii="Arial" w:hAnsi="Arial"/>
                <w:color w:val="404040"/>
                <w:sz w:val="19"/>
              </w:rPr>
              <w:t>BC MSP</w:t>
            </w:r>
          </w:p>
        </w:tc>
        <w:tc>
          <w:tcPr>
            <w:tcW w:type="dxa" w:w="5184"/>
            <w:shd w:val="clear" w:color="auto" w:fill="FFFFFF"/>
          </w:tcPr>
          <w:p>
            <w:pPr>
              <w:spacing w:before="60" w:after="60"/>
            </w:pPr>
            <w:r>
              <w:rPr>
                <w:rFonts w:ascii="Arial" w:hAnsi="Arial"/>
                <w:color w:val="404040"/>
                <w:sz w:val="19"/>
              </w:rPr>
              <w:t>Standard visit by an MSP-enrolled BC resident</w:t>
            </w:r>
          </w:p>
        </w:tc>
      </w:tr>
      <w:tr>
        <w:tc>
          <w:tcPr>
            <w:tcW w:type="dxa" w:w="1728"/>
            <w:shd w:val="clear" w:color="auto" w:fill="F2F2F2"/>
          </w:tcPr>
          <w:p>
            <w:pPr>
              <w:spacing w:before="60" w:after="60"/>
            </w:pPr>
            <w:r>
              <w:rPr>
                <w:rFonts w:ascii="Arial" w:hAnsi="Arial"/>
                <w:color w:val="404040"/>
                <w:sz w:val="19"/>
              </w:rPr>
              <w:t>Reciprocal (Cat 2)</w:t>
            </w:r>
          </w:p>
        </w:tc>
        <w:tc>
          <w:tcPr>
            <w:tcW w:type="dxa" w:w="2448"/>
            <w:shd w:val="clear" w:color="auto" w:fill="F2F2F2"/>
          </w:tcPr>
          <w:p>
            <w:pPr>
              <w:spacing w:before="60" w:after="60"/>
            </w:pPr>
            <w:r>
              <w:rPr>
                <w:rFonts w:ascii="Arial" w:hAnsi="Arial"/>
                <w:color w:val="404040"/>
                <w:sz w:val="19"/>
              </w:rPr>
              <w:t>Other province's health plan</w:t>
            </w:r>
          </w:p>
        </w:tc>
        <w:tc>
          <w:tcPr>
            <w:tcW w:type="dxa" w:w="5184"/>
            <w:shd w:val="clear" w:color="auto" w:fill="F2F2F2"/>
          </w:tcPr>
          <w:p>
            <w:pPr>
              <w:spacing w:before="60" w:after="60"/>
            </w:pPr>
            <w:r>
              <w:rPr>
                <w:rFonts w:ascii="Arial" w:hAnsi="Arial"/>
                <w:color w:val="404040"/>
                <w:sz w:val="19"/>
              </w:rPr>
              <w:t>Patient from another province visiting BC</w:t>
            </w:r>
          </w:p>
        </w:tc>
      </w:tr>
      <w:tr>
        <w:tc>
          <w:tcPr>
            <w:tcW w:type="dxa" w:w="1728"/>
            <w:shd w:val="clear" w:color="auto" w:fill="FFFFFF"/>
          </w:tcPr>
          <w:p>
            <w:pPr>
              <w:spacing w:before="60" w:after="60"/>
            </w:pPr>
            <w:r>
              <w:rPr>
                <w:rFonts w:ascii="Arial" w:hAnsi="Arial"/>
                <w:color w:val="404040"/>
                <w:sz w:val="19"/>
              </w:rPr>
              <w:t>WSBC (Cat 4)</w:t>
            </w:r>
          </w:p>
        </w:tc>
        <w:tc>
          <w:tcPr>
            <w:tcW w:type="dxa" w:w="2448"/>
            <w:shd w:val="clear" w:color="auto" w:fill="FFFFFF"/>
          </w:tcPr>
          <w:p>
            <w:pPr>
              <w:spacing w:before="60" w:after="60"/>
            </w:pPr>
            <w:r>
              <w:rPr>
                <w:rFonts w:ascii="Arial" w:hAnsi="Arial"/>
                <w:color w:val="404040"/>
                <w:sz w:val="19"/>
              </w:rPr>
              <w:t>WorkSafeBC</w:t>
            </w:r>
          </w:p>
        </w:tc>
        <w:tc>
          <w:tcPr>
            <w:tcW w:type="dxa" w:w="5184"/>
            <w:shd w:val="clear" w:color="auto" w:fill="FFFFFF"/>
          </w:tcPr>
          <w:p>
            <w:pPr>
              <w:spacing w:before="60" w:after="60"/>
            </w:pPr>
            <w:r>
              <w:rPr>
                <w:rFonts w:ascii="Arial" w:hAnsi="Arial"/>
                <w:color w:val="404040"/>
                <w:sz w:val="19"/>
              </w:rPr>
              <w:t>Work-related injury or illness</w:t>
            </w:r>
          </w:p>
        </w:tc>
      </w:tr>
      <w:tr>
        <w:tc>
          <w:tcPr>
            <w:tcW w:type="dxa" w:w="1728"/>
            <w:shd w:val="clear" w:color="auto" w:fill="F2F2F2"/>
          </w:tcPr>
          <w:p>
            <w:pPr>
              <w:spacing w:before="60" w:after="60"/>
            </w:pPr>
            <w:r>
              <w:rPr>
                <w:rFonts w:ascii="Arial" w:hAnsi="Arial"/>
                <w:color w:val="404040"/>
                <w:sz w:val="19"/>
              </w:rPr>
              <w:t>ICBC (Cat 5)</w:t>
            </w:r>
          </w:p>
        </w:tc>
        <w:tc>
          <w:tcPr>
            <w:tcW w:type="dxa" w:w="2448"/>
            <w:shd w:val="clear" w:color="auto" w:fill="F2F2F2"/>
          </w:tcPr>
          <w:p>
            <w:pPr>
              <w:spacing w:before="60" w:after="60"/>
            </w:pPr>
            <w:r>
              <w:rPr>
                <w:rFonts w:ascii="Arial" w:hAnsi="Arial"/>
                <w:color w:val="404040"/>
                <w:sz w:val="19"/>
              </w:rPr>
              <w:t>ICBC</w:t>
            </w:r>
          </w:p>
        </w:tc>
        <w:tc>
          <w:tcPr>
            <w:tcW w:type="dxa" w:w="5184"/>
            <w:shd w:val="clear" w:color="auto" w:fill="F2F2F2"/>
          </w:tcPr>
          <w:p>
            <w:pPr>
              <w:spacing w:before="60" w:after="60"/>
            </w:pPr>
            <w:r>
              <w:rPr>
                <w:rFonts w:ascii="Arial" w:hAnsi="Arial"/>
                <w:color w:val="404040"/>
                <w:sz w:val="19"/>
              </w:rPr>
              <w:t>Motor vehicle accident treatment</w:t>
            </w:r>
          </w:p>
        </w:tc>
      </w:tr>
      <w:tr>
        <w:tc>
          <w:tcPr>
            <w:tcW w:type="dxa" w:w="1728"/>
            <w:shd w:val="clear" w:color="auto" w:fill="FFFFFF"/>
          </w:tcPr>
          <w:p>
            <w:pPr>
              <w:spacing w:before="60" w:after="60"/>
            </w:pPr>
            <w:r>
              <w:rPr>
                <w:rFonts w:ascii="Arial" w:hAnsi="Arial"/>
                <w:color w:val="404040"/>
                <w:sz w:val="19"/>
              </w:rPr>
              <w:t>Opted-Out (Cat 6)</w:t>
            </w:r>
          </w:p>
        </w:tc>
        <w:tc>
          <w:tcPr>
            <w:tcW w:type="dxa" w:w="2448"/>
            <w:shd w:val="clear" w:color="auto" w:fill="FFFFFF"/>
          </w:tcPr>
          <w:p>
            <w:pPr>
              <w:spacing w:before="60" w:after="60"/>
            </w:pPr>
            <w:r>
              <w:rPr>
                <w:rFonts w:ascii="Arial" w:hAnsi="Arial"/>
                <w:color w:val="404040"/>
                <w:sz w:val="19"/>
              </w:rPr>
              <w:t>Patient pays directly</w:t>
            </w:r>
          </w:p>
        </w:tc>
        <w:tc>
          <w:tcPr>
            <w:tcW w:type="dxa" w:w="5184"/>
            <w:shd w:val="clear" w:color="auto" w:fill="FFFFFF"/>
          </w:tcPr>
          <w:p>
            <w:pPr>
              <w:spacing w:before="60" w:after="60"/>
            </w:pPr>
            <w:r>
              <w:rPr>
                <w:rFonts w:ascii="Arial" w:hAnsi="Arial"/>
                <w:color w:val="404040"/>
                <w:sz w:val="19"/>
              </w:rPr>
              <w:t>Provider is opted out — no MSP submission</w:t>
            </w:r>
          </w:p>
        </w:tc>
      </w:tr>
      <w:tr>
        <w:tc>
          <w:tcPr>
            <w:tcW w:type="dxa" w:w="1728"/>
            <w:shd w:val="clear" w:color="auto" w:fill="F2F2F2"/>
          </w:tcPr>
          <w:p>
            <w:pPr>
              <w:spacing w:before="60" w:after="60"/>
            </w:pPr>
            <w:r>
              <w:rPr>
                <w:rFonts w:ascii="Arial" w:hAnsi="Arial"/>
                <w:color w:val="404040"/>
                <w:sz w:val="19"/>
              </w:rPr>
              <w:t>Institutional (Cat 7)</w:t>
            </w:r>
          </w:p>
        </w:tc>
        <w:tc>
          <w:tcPr>
            <w:tcW w:type="dxa" w:w="2448"/>
            <w:shd w:val="clear" w:color="auto" w:fill="F2F2F2"/>
          </w:tcPr>
          <w:p>
            <w:pPr>
              <w:spacing w:before="60" w:after="60"/>
            </w:pPr>
            <w:r>
              <w:rPr>
                <w:rFonts w:ascii="Arial" w:hAnsi="Arial"/>
                <w:color w:val="404040"/>
                <w:sz w:val="19"/>
              </w:rPr>
              <w:t>Hospital/institution</w:t>
            </w:r>
          </w:p>
        </w:tc>
        <w:tc>
          <w:tcPr>
            <w:tcW w:type="dxa" w:w="5184"/>
            <w:shd w:val="clear" w:color="auto" w:fill="F2F2F2"/>
          </w:tcPr>
          <w:p>
            <w:pPr>
              <w:spacing w:before="60" w:after="60"/>
            </w:pPr>
            <w:r>
              <w:rPr>
                <w:rFonts w:ascii="Arial" w:hAnsi="Arial"/>
                <w:color w:val="404040"/>
                <w:sz w:val="19"/>
              </w:rPr>
              <w:t>Service provided in a hospital — special rules apply</w:t>
            </w:r>
          </w:p>
        </w:tc>
      </w:tr>
    </w:tbl>
    <w:p>
      <w:pPr>
        <w:spacing w:before="0" w:after="160"/>
      </w:pPr>
    </w:p>
    <w:p>
      <w:r>
        <w:br w:type="page"/>
      </w:r>
    </w:p>
    <w:p>
      <w:pPr>
        <w:spacing w:before="480" w:after="120"/>
        <w:pBdr>
          <w:bottom w:val="single" w:sz="6" w:color="2E75B6"/>
        </w:pBdr>
      </w:pPr>
      <w:r>
        <w:rPr>
          <w:rFonts w:ascii="Arial" w:hAnsi="Arial"/>
          <w:b/>
          <w:color w:val="1F3864"/>
          <w:sz w:val="36"/>
        </w:rPr>
        <w:t>5.  How Claims Are Processed</w:t>
      </w:r>
    </w:p>
    <w:p>
      <w:pPr>
        <w:spacing w:before="280" w:after="80"/>
      </w:pPr>
      <w:r>
        <w:rPr>
          <w:rFonts w:ascii="Arial" w:hAnsi="Arial"/>
          <w:b/>
          <w:color w:val="2E75B6"/>
          <w:sz w:val="26"/>
        </w:rPr>
        <w:t>Two-Stage Processing</w:t>
      </w:r>
    </w:p>
    <w:p>
      <w:pPr>
        <w:spacing w:after="120"/>
      </w:pPr>
      <w:r>
        <w:rPr>
          <w:rFonts w:ascii="Arial" w:hAnsi="Arial"/>
          <w:i w:val="0"/>
          <w:color w:val="404040"/>
          <w:sz w:val="21"/>
        </w:rPr>
        <w:t>MSP processes claims in two stages. Understanding this is essential when explaining claim status to providers.</w:t>
      </w:r>
    </w:p>
    <w:p>
      <w:pPr>
        <w:spacing w:before="200" w:after="60"/>
      </w:pPr>
      <w:r>
        <w:rPr>
          <w:rFonts w:ascii="Arial" w:hAnsi="Arial"/>
          <w:b/>
          <w:color w:val="2E75B6"/>
          <w:sz w:val="22"/>
        </w:rPr>
        <w:t>Stage 1 — Pre-Edit (Format Check)</w:t>
      </w:r>
    </w:p>
    <w:p>
      <w:pPr>
        <w:spacing w:after="120"/>
      </w:pPr>
      <w:r>
        <w:rPr>
          <w:rFonts w:ascii="Arial" w:hAnsi="Arial"/>
          <w:i w:val="0"/>
          <w:color w:val="404040"/>
          <w:sz w:val="21"/>
        </w:rPr>
        <w:t>When Sky Claims sends a file to Teleplan, MSP immediately runs a pre-edit check on the format of the file. If the format is wrong, records are rejected before they enter the assessment system. Common pre-edit errors:</w:t>
      </w:r>
    </w:p>
    <w:p>
      <w:pPr>
        <w:pStyle w:val="ListBullet"/>
        <w:spacing w:after="60"/>
        <w:ind w:left="360"/>
      </w:pPr>
      <w:r>
        <w:rPr>
          <w:rFonts w:ascii="Arial" w:hAnsi="Arial"/>
          <w:color w:val="404040"/>
          <w:sz w:val="21"/>
        </w:rPr>
        <w:t>Invalid or missing PHN format (must be 10 digits, valid MOD-11 check)</w:t>
      </w:r>
    </w:p>
    <w:p>
      <w:pPr>
        <w:pStyle w:val="ListBullet"/>
        <w:spacing w:after="60"/>
        <w:ind w:left="360"/>
      </w:pPr>
      <w:r>
        <w:rPr>
          <w:rFonts w:ascii="Arial" w:hAnsi="Arial"/>
          <w:color w:val="404040"/>
          <w:sz w:val="21"/>
        </w:rPr>
        <w:t>Service provider number not found in MSP registry</w:t>
      </w:r>
    </w:p>
    <w:p>
      <w:pPr>
        <w:pStyle w:val="ListBullet"/>
        <w:spacing w:after="60"/>
        <w:ind w:left="360"/>
      </w:pPr>
      <w:r>
        <w:rPr>
          <w:rFonts w:ascii="Arial" w:hAnsi="Arial"/>
          <w:color w:val="404040"/>
          <w:sz w:val="21"/>
        </w:rPr>
        <w:t>Data centre sequence number out of order (every submission must be sequential)</w:t>
      </w:r>
    </w:p>
    <w:p>
      <w:pPr>
        <w:pStyle w:val="ListBullet"/>
        <w:spacing w:after="60"/>
        <w:ind w:left="360"/>
      </w:pPr>
      <w:r>
        <w:rPr>
          <w:rFonts w:ascii="Arial" w:hAnsi="Arial"/>
          <w:color w:val="404040"/>
          <w:sz w:val="21"/>
        </w:rPr>
        <w:t>Records that are too long or too short (strict character-count requirements)</w:t>
      </w:r>
    </w:p>
    <w:p>
      <w:pPr>
        <w:pStyle w:val="ListBullet"/>
        <w:spacing w:after="60"/>
        <w:ind w:left="360"/>
      </w:pPr>
      <w:r>
        <w:rPr>
          <w:rFonts w:ascii="Arial" w:hAnsi="Arial"/>
          <w:color w:val="404040"/>
          <w:sz w:val="21"/>
        </w:rPr>
        <w:t>Special characters not allowed by Teleplan (e.g., ~, !, {, })</w:t>
      </w:r>
    </w:p>
    <w:p>
      <w:pPr>
        <w:spacing w:before="200" w:after="60"/>
      </w:pPr>
      <w:r>
        <w:rPr>
          <w:rFonts w:ascii="Arial" w:hAnsi="Arial"/>
          <w:b/>
          <w:color w:val="2E75B6"/>
          <w:sz w:val="22"/>
        </w:rPr>
        <w:t>Stage 2 — Assessment (Adjudication)</w:t>
      </w:r>
    </w:p>
    <w:p>
      <w:pPr>
        <w:spacing w:after="120"/>
      </w:pPr>
      <w:r>
        <w:rPr>
          <w:rFonts w:ascii="Arial" w:hAnsi="Arial"/>
          <w:i w:val="0"/>
          <w:color w:val="404040"/>
          <w:sz w:val="21"/>
        </w:rPr>
        <w:t>Claims that pass the pre-edit enter MSP's assessment system. Here, MSP determines whether the service should be paid and at what amount. Assessment may result in:</w:t>
      </w:r>
    </w:p>
    <w:p>
      <w:pPr>
        <w:pStyle w:val="ListBullet"/>
        <w:spacing w:after="60"/>
        <w:ind w:left="360"/>
      </w:pPr>
      <w:r>
        <w:rPr>
          <w:rFonts w:ascii="Arial" w:hAnsi="Arial"/>
          <w:color w:val="404040"/>
          <w:sz w:val="21"/>
        </w:rPr>
        <w:t>Paid in full — claim approved at the full fee schedule amount</w:t>
      </w:r>
    </w:p>
    <w:p>
      <w:pPr>
        <w:pStyle w:val="ListBullet"/>
        <w:spacing w:after="60"/>
        <w:ind w:left="360"/>
      </w:pPr>
      <w:r>
        <w:rPr>
          <w:rFonts w:ascii="Arial" w:hAnsi="Arial"/>
          <w:color w:val="404040"/>
          <w:sz w:val="21"/>
        </w:rPr>
        <w:t>Paid at a reduced amount — MSP applies a payment rule (e.g., multiple service discount, patient seen recently)</w:t>
      </w:r>
    </w:p>
    <w:p>
      <w:pPr>
        <w:pStyle w:val="ListBullet"/>
        <w:spacing w:after="60"/>
        <w:ind w:left="360"/>
      </w:pPr>
      <w:r>
        <w:rPr>
          <w:rFonts w:ascii="Arial" w:hAnsi="Arial"/>
          <w:color w:val="404040"/>
          <w:sz w:val="21"/>
        </w:rPr>
        <w:t>Refused — claim is not payable; reasons include ineligibility, wrong service code, missing referral, or billing limit exceeded</w:t>
      </w:r>
    </w:p>
    <w:p>
      <w:pPr>
        <w:spacing w:before="280" w:after="80"/>
      </w:pPr>
      <w:r>
        <w:rPr>
          <w:rFonts w:ascii="Arial" w:hAnsi="Arial"/>
          <w:b/>
          <w:color w:val="2E75B6"/>
          <w:sz w:val="26"/>
        </w:rPr>
        <w:t>Common Refusal Codes</w:t>
      </w:r>
    </w:p>
    <w:tbl>
      <w:tblPr>
        <w:tblStyle w:val="TableGrid"/>
        <w:tblW w:type="auto" w:w="0"/>
        <w:jc w:val="left"/>
        <w:tblLook w:firstColumn="1" w:firstRow="1" w:lastColumn="0" w:lastRow="0" w:noHBand="0" w:noVBand="1" w:val="04A0"/>
      </w:tblPr>
      <w:tblGrid>
        <w:gridCol w:w="3120"/>
        <w:gridCol w:w="3120"/>
        <w:gridCol w:w="3120"/>
      </w:tblGrid>
      <w:tr>
        <w:tc>
          <w:tcPr>
            <w:tcW w:type="dxa" w:w="864"/>
            <w:shd w:val="clear" w:color="auto" w:fill="1F3864"/>
          </w:tcPr>
          <w:p>
            <w:pPr>
              <w:spacing w:before="60" w:after="60"/>
            </w:pPr>
            <w:r>
              <w:rPr>
                <w:rFonts w:ascii="Arial" w:hAnsi="Arial"/>
                <w:b/>
                <w:color w:val="FFFFFF"/>
                <w:sz w:val="19"/>
              </w:rPr>
              <w:t>Code</w:t>
            </w:r>
          </w:p>
        </w:tc>
        <w:tc>
          <w:tcPr>
            <w:tcW w:type="dxa" w:w="3024"/>
            <w:shd w:val="clear" w:color="auto" w:fill="1F3864"/>
          </w:tcPr>
          <w:p>
            <w:pPr>
              <w:spacing w:before="60" w:after="60"/>
            </w:pPr>
            <w:r>
              <w:rPr>
                <w:rFonts w:ascii="Arial" w:hAnsi="Arial"/>
                <w:b/>
                <w:color w:val="FFFFFF"/>
                <w:sz w:val="19"/>
              </w:rPr>
              <w:t>Meaning</w:t>
            </w:r>
          </w:p>
        </w:tc>
        <w:tc>
          <w:tcPr>
            <w:tcW w:type="dxa" w:w="5472"/>
            <w:shd w:val="clear" w:color="auto" w:fill="1F3864"/>
          </w:tcPr>
          <w:p>
            <w:pPr>
              <w:spacing w:before="60" w:after="60"/>
            </w:pPr>
            <w:r>
              <w:rPr>
                <w:rFonts w:ascii="Arial" w:hAnsi="Arial"/>
                <w:b/>
                <w:color w:val="FFFFFF"/>
                <w:sz w:val="19"/>
              </w:rPr>
              <w:t>How to Handle</w:t>
            </w:r>
          </w:p>
        </w:tc>
      </w:tr>
      <w:tr>
        <w:tc>
          <w:tcPr>
            <w:tcW w:type="dxa" w:w="864"/>
            <w:shd w:val="clear" w:color="auto" w:fill="FFFFFF"/>
          </w:tcPr>
          <w:p>
            <w:pPr>
              <w:spacing w:before="60" w:after="60"/>
            </w:pPr>
            <w:r>
              <w:rPr>
                <w:rFonts w:ascii="Arial" w:hAnsi="Arial"/>
                <w:color w:val="404040"/>
                <w:sz w:val="19"/>
              </w:rPr>
              <w:t>C10</w:t>
            </w:r>
          </w:p>
        </w:tc>
        <w:tc>
          <w:tcPr>
            <w:tcW w:type="dxa" w:w="3024"/>
            <w:shd w:val="clear" w:color="auto" w:fill="FFFFFF"/>
          </w:tcPr>
          <w:p>
            <w:pPr>
              <w:spacing w:before="60" w:after="60"/>
            </w:pPr>
            <w:r>
              <w:rPr>
                <w:rFonts w:ascii="Arial" w:hAnsi="Arial"/>
                <w:color w:val="404040"/>
                <w:sz w:val="19"/>
              </w:rPr>
              <w:t>Patient not eligible on date of service</w:t>
            </w:r>
          </w:p>
        </w:tc>
        <w:tc>
          <w:tcPr>
            <w:tcW w:type="dxa" w:w="5472"/>
            <w:shd w:val="clear" w:color="auto" w:fill="FFFFFF"/>
          </w:tcPr>
          <w:p>
            <w:pPr>
              <w:spacing w:before="60" w:after="60"/>
            </w:pPr>
            <w:r>
              <w:rPr>
                <w:rFonts w:ascii="Arial" w:hAnsi="Arial"/>
                <w:color w:val="404040"/>
                <w:sz w:val="19"/>
              </w:rPr>
              <w:t>Confirm MSP registration was active on that date; appeal if data was delayed</w:t>
            </w:r>
          </w:p>
        </w:tc>
      </w:tr>
      <w:tr>
        <w:tc>
          <w:tcPr>
            <w:tcW w:type="dxa" w:w="864"/>
            <w:shd w:val="clear" w:color="auto" w:fill="F2F2F2"/>
          </w:tcPr>
          <w:p>
            <w:pPr>
              <w:spacing w:before="60" w:after="60"/>
            </w:pPr>
            <w:r>
              <w:rPr>
                <w:rFonts w:ascii="Arial" w:hAnsi="Arial"/>
                <w:color w:val="404040"/>
                <w:sz w:val="19"/>
              </w:rPr>
              <w:t>C11</w:t>
            </w:r>
          </w:p>
        </w:tc>
        <w:tc>
          <w:tcPr>
            <w:tcW w:type="dxa" w:w="3024"/>
            <w:shd w:val="clear" w:color="auto" w:fill="F2F2F2"/>
          </w:tcPr>
          <w:p>
            <w:pPr>
              <w:spacing w:before="60" w:after="60"/>
            </w:pPr>
            <w:r>
              <w:rPr>
                <w:rFonts w:ascii="Arial" w:hAnsi="Arial"/>
                <w:color w:val="404040"/>
                <w:sz w:val="19"/>
              </w:rPr>
              <w:t>Service provider not enrolled or invalid number</w:t>
            </w:r>
          </w:p>
        </w:tc>
        <w:tc>
          <w:tcPr>
            <w:tcW w:type="dxa" w:w="5472"/>
            <w:shd w:val="clear" w:color="auto" w:fill="F2F2F2"/>
          </w:tcPr>
          <w:p>
            <w:pPr>
              <w:spacing w:before="60" w:after="60"/>
            </w:pPr>
            <w:r>
              <w:rPr>
                <w:rFonts w:ascii="Arial" w:hAnsi="Arial"/>
                <w:color w:val="404040"/>
                <w:sz w:val="19"/>
              </w:rPr>
              <w:t>Check practitioner number is correct and enrollment is active</w:t>
            </w:r>
          </w:p>
        </w:tc>
      </w:tr>
      <w:tr>
        <w:tc>
          <w:tcPr>
            <w:tcW w:type="dxa" w:w="864"/>
            <w:shd w:val="clear" w:color="auto" w:fill="FFFFFF"/>
          </w:tcPr>
          <w:p>
            <w:pPr>
              <w:spacing w:before="60" w:after="60"/>
            </w:pPr>
            <w:r>
              <w:rPr>
                <w:rFonts w:ascii="Arial" w:hAnsi="Arial"/>
                <w:color w:val="404040"/>
                <w:sz w:val="19"/>
              </w:rPr>
              <w:t>C12</w:t>
            </w:r>
          </w:p>
        </w:tc>
        <w:tc>
          <w:tcPr>
            <w:tcW w:type="dxa" w:w="3024"/>
            <w:shd w:val="clear" w:color="auto" w:fill="FFFFFF"/>
          </w:tcPr>
          <w:p>
            <w:pPr>
              <w:spacing w:before="60" w:after="60"/>
            </w:pPr>
            <w:r>
              <w:rPr>
                <w:rFonts w:ascii="Arial" w:hAnsi="Arial"/>
                <w:color w:val="404040"/>
                <w:sz w:val="19"/>
              </w:rPr>
              <w:t>Service already paid (duplicate)</w:t>
            </w:r>
          </w:p>
        </w:tc>
        <w:tc>
          <w:tcPr>
            <w:tcW w:type="dxa" w:w="5472"/>
            <w:shd w:val="clear" w:color="auto" w:fill="FFFFFF"/>
          </w:tcPr>
          <w:p>
            <w:pPr>
              <w:spacing w:before="60" w:after="60"/>
            </w:pPr>
            <w:r>
              <w:rPr>
                <w:rFonts w:ascii="Arial" w:hAnsi="Arial"/>
                <w:color w:val="404040"/>
                <w:sz w:val="19"/>
              </w:rPr>
              <w:t>Verify service was not billed twice; confirm service date is different if legitimately a second visit</w:t>
            </w:r>
          </w:p>
        </w:tc>
      </w:tr>
      <w:tr>
        <w:tc>
          <w:tcPr>
            <w:tcW w:type="dxa" w:w="864"/>
            <w:shd w:val="clear" w:color="auto" w:fill="F2F2F2"/>
          </w:tcPr>
          <w:p>
            <w:pPr>
              <w:spacing w:before="60" w:after="60"/>
            </w:pPr>
            <w:r>
              <w:rPr>
                <w:rFonts w:ascii="Arial" w:hAnsi="Arial"/>
                <w:color w:val="404040"/>
                <w:sz w:val="19"/>
              </w:rPr>
              <w:t>C31</w:t>
            </w:r>
          </w:p>
        </w:tc>
        <w:tc>
          <w:tcPr>
            <w:tcW w:type="dxa" w:w="3024"/>
            <w:shd w:val="clear" w:color="auto" w:fill="F2F2F2"/>
          </w:tcPr>
          <w:p>
            <w:pPr>
              <w:spacing w:before="60" w:after="60"/>
            </w:pPr>
            <w:r>
              <w:rPr>
                <w:rFonts w:ascii="Arial" w:hAnsi="Arial"/>
                <w:color w:val="404040"/>
                <w:sz w:val="19"/>
              </w:rPr>
              <w:t>Invalid or missing diagnosis code</w:t>
            </w:r>
          </w:p>
        </w:tc>
        <w:tc>
          <w:tcPr>
            <w:tcW w:type="dxa" w:w="5472"/>
            <w:shd w:val="clear" w:color="auto" w:fill="F2F2F2"/>
          </w:tcPr>
          <w:p>
            <w:pPr>
              <w:spacing w:before="60" w:after="60"/>
            </w:pPr>
            <w:r>
              <w:rPr>
                <w:rFonts w:ascii="Arial" w:hAnsi="Arial"/>
                <w:color w:val="404040"/>
                <w:sz w:val="19"/>
              </w:rPr>
              <w:t>Confirm the ICD-9 code matches the service and is 3 to 5 digits</w:t>
            </w:r>
          </w:p>
        </w:tc>
      </w:tr>
      <w:tr>
        <w:tc>
          <w:tcPr>
            <w:tcW w:type="dxa" w:w="864"/>
            <w:shd w:val="clear" w:color="auto" w:fill="FFFFFF"/>
          </w:tcPr>
          <w:p>
            <w:pPr>
              <w:spacing w:before="60" w:after="60"/>
            </w:pPr>
            <w:r>
              <w:rPr>
                <w:rFonts w:ascii="Arial" w:hAnsi="Arial"/>
                <w:color w:val="404040"/>
                <w:sz w:val="19"/>
              </w:rPr>
              <w:t>C37</w:t>
            </w:r>
          </w:p>
        </w:tc>
        <w:tc>
          <w:tcPr>
            <w:tcW w:type="dxa" w:w="3024"/>
            <w:shd w:val="clear" w:color="auto" w:fill="FFFFFF"/>
          </w:tcPr>
          <w:p>
            <w:pPr>
              <w:spacing w:before="60" w:after="60"/>
            </w:pPr>
            <w:r>
              <w:rPr>
                <w:rFonts w:ascii="Arial" w:hAnsi="Arial"/>
                <w:color w:val="404040"/>
                <w:sz w:val="19"/>
              </w:rPr>
              <w:t>Referral required but not present</w:t>
            </w:r>
          </w:p>
        </w:tc>
        <w:tc>
          <w:tcPr>
            <w:tcW w:type="dxa" w:w="5472"/>
            <w:shd w:val="clear" w:color="auto" w:fill="FFFFFF"/>
          </w:tcPr>
          <w:p>
            <w:pPr>
              <w:spacing w:before="60" w:after="60"/>
            </w:pPr>
            <w:r>
              <w:rPr>
                <w:rFonts w:ascii="Arial" w:hAnsi="Arial"/>
                <w:color w:val="404040"/>
                <w:sz w:val="19"/>
              </w:rPr>
              <w:t>Collect the referring provider's number and resubmit</w:t>
            </w:r>
          </w:p>
        </w:tc>
      </w:tr>
      <w:tr>
        <w:tc>
          <w:tcPr>
            <w:tcW w:type="dxa" w:w="864"/>
            <w:shd w:val="clear" w:color="auto" w:fill="F2F2F2"/>
          </w:tcPr>
          <w:p>
            <w:pPr>
              <w:spacing w:before="60" w:after="60"/>
            </w:pPr>
            <w:r>
              <w:rPr>
                <w:rFonts w:ascii="Arial" w:hAnsi="Arial"/>
                <w:color w:val="404040"/>
                <w:sz w:val="19"/>
              </w:rPr>
              <w:t>C51</w:t>
            </w:r>
          </w:p>
        </w:tc>
        <w:tc>
          <w:tcPr>
            <w:tcW w:type="dxa" w:w="3024"/>
            <w:shd w:val="clear" w:color="auto" w:fill="F2F2F2"/>
          </w:tcPr>
          <w:p>
            <w:pPr>
              <w:spacing w:before="60" w:after="60"/>
            </w:pPr>
            <w:r>
              <w:rPr>
                <w:rFonts w:ascii="Arial" w:hAnsi="Arial"/>
                <w:color w:val="404040"/>
                <w:sz w:val="19"/>
              </w:rPr>
              <w:t>Service code not payable for this provider type</w:t>
            </w:r>
          </w:p>
        </w:tc>
        <w:tc>
          <w:tcPr>
            <w:tcW w:type="dxa" w:w="5472"/>
            <w:shd w:val="clear" w:color="auto" w:fill="F2F2F2"/>
          </w:tcPr>
          <w:p>
            <w:pPr>
              <w:spacing w:before="60" w:after="60"/>
            </w:pPr>
            <w:r>
              <w:rPr>
                <w:rFonts w:ascii="Arial" w:hAnsi="Arial"/>
                <w:color w:val="404040"/>
                <w:sz w:val="19"/>
              </w:rPr>
              <w:t>Check the provider's specialty against MSP Schedule of Benefits</w:t>
            </w:r>
          </w:p>
        </w:tc>
      </w:tr>
      <w:tr>
        <w:tc>
          <w:tcPr>
            <w:tcW w:type="dxa" w:w="864"/>
            <w:shd w:val="clear" w:color="auto" w:fill="FFFFFF"/>
          </w:tcPr>
          <w:p>
            <w:pPr>
              <w:spacing w:before="60" w:after="60"/>
            </w:pPr>
            <w:r>
              <w:rPr>
                <w:rFonts w:ascii="Arial" w:hAnsi="Arial"/>
                <w:color w:val="404040"/>
                <w:sz w:val="19"/>
              </w:rPr>
              <w:t>C59</w:t>
            </w:r>
          </w:p>
        </w:tc>
        <w:tc>
          <w:tcPr>
            <w:tcW w:type="dxa" w:w="3024"/>
            <w:shd w:val="clear" w:color="auto" w:fill="FFFFFF"/>
          </w:tcPr>
          <w:p>
            <w:pPr>
              <w:spacing w:before="60" w:after="60"/>
            </w:pPr>
            <w:r>
              <w:rPr>
                <w:rFonts w:ascii="Arial" w:hAnsi="Arial"/>
                <w:color w:val="404040"/>
                <w:sz w:val="19"/>
              </w:rPr>
              <w:t>Claim submitted late (beyond 90 days)</w:t>
            </w:r>
          </w:p>
        </w:tc>
        <w:tc>
          <w:tcPr>
            <w:tcW w:type="dxa" w:w="5472"/>
            <w:shd w:val="clear" w:color="auto" w:fill="FFFFFF"/>
          </w:tcPr>
          <w:p>
            <w:pPr>
              <w:spacing w:before="60" w:after="60"/>
            </w:pPr>
            <w:r>
              <w:rPr>
                <w:rFonts w:ascii="Arial" w:hAnsi="Arial"/>
                <w:color w:val="404040"/>
                <w:sz w:val="19"/>
              </w:rPr>
              <w:t>Claims must be submitted within 90 days of service — older ones require a manual appeal</w:t>
            </w:r>
          </w:p>
        </w:tc>
      </w:tr>
      <w:tr>
        <w:tc>
          <w:tcPr>
            <w:tcW w:type="dxa" w:w="864"/>
            <w:shd w:val="clear" w:color="auto" w:fill="F2F2F2"/>
          </w:tcPr>
          <w:p>
            <w:pPr>
              <w:spacing w:before="60" w:after="60"/>
            </w:pPr>
            <w:r>
              <w:rPr>
                <w:rFonts w:ascii="Arial" w:hAnsi="Arial"/>
                <w:color w:val="404040"/>
                <w:sz w:val="19"/>
              </w:rPr>
              <w:t>C65</w:t>
            </w:r>
          </w:p>
        </w:tc>
        <w:tc>
          <w:tcPr>
            <w:tcW w:type="dxa" w:w="3024"/>
            <w:shd w:val="clear" w:color="auto" w:fill="F2F2F2"/>
          </w:tcPr>
          <w:p>
            <w:pPr>
              <w:spacing w:before="60" w:after="60"/>
            </w:pPr>
            <w:r>
              <w:rPr>
                <w:rFonts w:ascii="Arial" w:hAnsi="Arial"/>
                <w:color w:val="404040"/>
                <w:sz w:val="19"/>
              </w:rPr>
              <w:t>Maximum visits/year exceeded</w:t>
            </w:r>
          </w:p>
        </w:tc>
        <w:tc>
          <w:tcPr>
            <w:tcW w:type="dxa" w:w="5472"/>
            <w:shd w:val="clear" w:color="auto" w:fill="F2F2F2"/>
          </w:tcPr>
          <w:p>
            <w:pPr>
              <w:spacing w:before="60" w:after="60"/>
            </w:pPr>
            <w:r>
              <w:rPr>
                <w:rFonts w:ascii="Arial" w:hAnsi="Arial"/>
                <w:color w:val="404040"/>
                <w:sz w:val="19"/>
              </w:rPr>
              <w:t>Some services have annual limits; exceptions require MSP approval</w:t>
            </w:r>
          </w:p>
        </w:tc>
      </w:tr>
    </w:tbl>
    <w:p>
      <w:pPr>
        <w:spacing w:before="0" w:after="160"/>
      </w:pPr>
    </w:p>
    <w:p>
      <w:pPr>
        <w:spacing w:before="280" w:after="80"/>
      </w:pPr>
      <w:r>
        <w:rPr>
          <w:rFonts w:ascii="Arial" w:hAnsi="Arial"/>
          <w:b/>
          <w:color w:val="2E75B6"/>
          <w:sz w:val="26"/>
        </w:rPr>
        <w:t>What Is "Zapping" a Claim?</w:t>
      </w:r>
    </w:p>
    <w:p>
      <w:pPr>
        <w:spacing w:after="120"/>
      </w:pPr>
      <w:r>
        <w:rPr>
          <w:rFonts w:ascii="Arial" w:hAnsi="Arial"/>
          <w:i w:val="0"/>
          <w:color w:val="404040"/>
          <w:sz w:val="21"/>
        </w:rPr>
        <w:t>If a claim was submitted with incorrect data and is still being processed, Teleplan Support can "zap" (cancel) it before it is assessed. Contact Teleplan Support immediately if you discover a submission error — time is critical.</w:t>
      </w:r>
    </w:p>
    <w:tbl>
      <w:tblPr>
        <w:tblStyle w:val="TableGrid"/>
        <w:tblW w:type="auto" w:w="0"/>
        <w:jc w:val="left"/>
        <w:tblLook w:firstColumn="1" w:firstRow="1" w:lastColumn="0" w:lastRow="0" w:noHBand="0" w:noVBand="1" w:val="04A0"/>
      </w:tblPr>
      <w:tblGrid>
        <w:gridCol w:w="1296"/>
        <w:gridCol w:w="8064"/>
      </w:tblGrid>
      <w:tr>
        <w:tc>
          <w:tcPr>
            <w:tcW w:type="dxa" w:w="1296"/>
            <w:shd w:val="clear" w:color="auto" w:fill="2E75B6"/>
          </w:tcPr>
          <w:p>
            <w:pPr>
              <w:spacing w:before="80" w:after="80"/>
              <w:jc w:val="center"/>
            </w:pPr>
            <w:r>
              <w:rPr>
                <w:rFonts w:ascii="Arial" w:hAnsi="Arial"/>
                <w:b/>
                <w:color w:val="FFFFFF"/>
                <w:sz w:val="18"/>
              </w:rPr>
              <w:t>TELEPLAN SUPPORT</w:t>
            </w:r>
          </w:p>
        </w:tc>
        <w:tc>
          <w:tcPr>
            <w:tcW w:type="dxa" w:w="8064"/>
            <w:shd w:val="clear" w:color="auto" w:fill="DEEAF1"/>
          </w:tcPr>
          <w:p>
            <w:pPr>
              <w:spacing w:before="80" w:after="80"/>
            </w:pPr>
            <w:r>
              <w:rPr>
                <w:rFonts w:ascii="Arial" w:hAnsi="Arial"/>
                <w:color w:val="404040"/>
                <w:sz w:val="20"/>
              </w:rPr>
              <w:t>Vancouver: (604) 456-6950  |  Rest of BC (toll-free): 1-866-456-6950  →  Press 3 for Teleplan  →  Press 2</w:t>
            </w:r>
          </w:p>
        </w:tc>
      </w:tr>
    </w:tbl>
    <w:p>
      <w:pPr>
        <w:spacing w:before="0" w:after="120"/>
      </w:pPr>
    </w:p>
    <w:p>
      <w:r>
        <w:br w:type="page"/>
      </w:r>
    </w:p>
    <w:p>
      <w:pPr>
        <w:spacing w:before="480" w:after="120"/>
        <w:pBdr>
          <w:bottom w:val="single" w:sz="6" w:color="2E75B6"/>
        </w:pBdr>
      </w:pPr>
      <w:r>
        <w:rPr>
          <w:rFonts w:ascii="Arial" w:hAnsi="Arial"/>
          <w:b/>
          <w:color w:val="1F3864"/>
          <w:sz w:val="36"/>
        </w:rPr>
        <w:t>6.  Understanding Remittances</w:t>
      </w:r>
    </w:p>
    <w:p>
      <w:pPr>
        <w:spacing w:after="120"/>
      </w:pPr>
      <w:r>
        <w:rPr>
          <w:rFonts w:ascii="Arial" w:hAnsi="Arial"/>
          <w:i w:val="0"/>
          <w:color w:val="404040"/>
          <w:sz w:val="21"/>
        </w:rPr>
        <w:t>A remittance is MSP's response to submitted claims — the equivalent of an Explanation of Benefits (EOB). Sky Claims downloads remittances from Teleplan and reconciles them against submitted claims.</w:t>
      </w:r>
    </w:p>
    <w:p>
      <w:pPr>
        <w:spacing w:before="280" w:after="80"/>
      </w:pPr>
      <w:r>
        <w:rPr>
          <w:rFonts w:ascii="Arial" w:hAnsi="Arial"/>
          <w:b/>
          <w:color w:val="2E75B6"/>
          <w:sz w:val="26"/>
        </w:rPr>
        <w:t>Remittance Schedule</w:t>
      </w:r>
    </w:p>
    <w:p>
      <w:pPr>
        <w:pStyle w:val="ListBullet"/>
        <w:spacing w:after="60"/>
        <w:ind w:left="360"/>
      </w:pPr>
      <w:r>
        <w:rPr>
          <w:rFonts w:ascii="Arial" w:hAnsi="Arial"/>
          <w:color w:val="404040"/>
          <w:sz w:val="21"/>
        </w:rPr>
        <w:t>Mid-month remittance — covers claims processed in the first half of the month</w:t>
      </w:r>
    </w:p>
    <w:p>
      <w:pPr>
        <w:pStyle w:val="ListBullet"/>
        <w:spacing w:after="60"/>
        <w:ind w:left="360"/>
      </w:pPr>
      <w:r>
        <w:rPr>
          <w:rFonts w:ascii="Arial" w:hAnsi="Arial"/>
          <w:color w:val="404040"/>
          <w:sz w:val="21"/>
        </w:rPr>
        <w:t>End-of-month remittance — covers claims processed in the second half</w:t>
      </w:r>
    </w:p>
    <w:p>
      <w:pPr>
        <w:spacing w:before="0" w:after="120"/>
      </w:pPr>
    </w:p>
    <w:p>
      <w:pPr>
        <w:spacing w:after="120"/>
      </w:pPr>
      <w:r>
        <w:rPr>
          <w:rFonts w:ascii="Arial" w:hAnsi="Arial"/>
          <w:i w:val="0"/>
          <w:color w:val="404040"/>
          <w:sz w:val="21"/>
        </w:rPr>
        <w:t>Payment is by EFT or cheque, on the same schedule. EFT is strongly preferred — cheques can take additional days to arrive.</w:t>
      </w:r>
    </w:p>
    <w:p>
      <w:pPr>
        <w:spacing w:before="280" w:after="80"/>
      </w:pPr>
      <w:r>
        <w:rPr>
          <w:rFonts w:ascii="Arial" w:hAnsi="Arial"/>
          <w:b/>
          <w:color w:val="2E75B6"/>
          <w:sz w:val="26"/>
        </w:rPr>
        <w:t>Key Remittance Records</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864"/>
          </w:tcPr>
          <w:p>
            <w:pPr>
              <w:spacing w:before="60" w:after="60"/>
            </w:pPr>
            <w:r>
              <w:rPr>
                <w:rFonts w:ascii="Arial" w:hAnsi="Arial"/>
                <w:b/>
                <w:color w:val="FFFFFF"/>
                <w:sz w:val="19"/>
              </w:rPr>
              <w:t>Record</w:t>
            </w:r>
          </w:p>
        </w:tc>
        <w:tc>
          <w:tcPr>
            <w:tcW w:type="dxa" w:w="2448"/>
            <w:shd w:val="clear" w:color="auto" w:fill="1F3864"/>
          </w:tcPr>
          <w:p>
            <w:pPr>
              <w:spacing w:before="60" w:after="60"/>
            </w:pPr>
            <w:r>
              <w:rPr>
                <w:rFonts w:ascii="Arial" w:hAnsi="Arial"/>
                <w:b/>
                <w:color w:val="FFFFFF"/>
                <w:sz w:val="19"/>
              </w:rPr>
              <w:t>Name</w:t>
            </w:r>
          </w:p>
        </w:tc>
        <w:tc>
          <w:tcPr>
            <w:tcW w:type="dxa" w:w="5904"/>
            <w:shd w:val="clear" w:color="auto" w:fill="1F3864"/>
          </w:tcPr>
          <w:p>
            <w:pPr>
              <w:spacing w:before="60" w:after="60"/>
            </w:pPr>
            <w:r>
              <w:rPr>
                <w:rFonts w:ascii="Arial" w:hAnsi="Arial"/>
                <w:b/>
                <w:color w:val="FFFFFF"/>
                <w:sz w:val="19"/>
              </w:rPr>
              <w:t>What It Contains</w:t>
            </w:r>
          </w:p>
        </w:tc>
      </w:tr>
      <w:tr>
        <w:tc>
          <w:tcPr>
            <w:tcW w:type="dxa" w:w="1008"/>
            <w:shd w:val="clear" w:color="auto" w:fill="FFFFFF"/>
          </w:tcPr>
          <w:p>
            <w:pPr>
              <w:spacing w:before="60" w:after="60"/>
            </w:pPr>
            <w:r>
              <w:rPr>
                <w:rFonts w:ascii="Arial" w:hAnsi="Arial"/>
                <w:color w:val="404040"/>
                <w:sz w:val="19"/>
              </w:rPr>
              <w:t>R15</w:t>
            </w:r>
          </w:p>
        </w:tc>
        <w:tc>
          <w:tcPr>
            <w:tcW w:type="dxa" w:w="2448"/>
            <w:shd w:val="clear" w:color="auto" w:fill="FFFFFF"/>
          </w:tcPr>
          <w:p>
            <w:pPr>
              <w:spacing w:before="60" w:after="60"/>
            </w:pPr>
            <w:r>
              <w:rPr>
                <w:rFonts w:ascii="Arial" w:hAnsi="Arial"/>
                <w:color w:val="404040"/>
                <w:sz w:val="19"/>
              </w:rPr>
              <w:t>Claim Detail</w:t>
            </w:r>
          </w:p>
        </w:tc>
        <w:tc>
          <w:tcPr>
            <w:tcW w:type="dxa" w:w="5904"/>
            <w:shd w:val="clear" w:color="auto" w:fill="FFFFFF"/>
          </w:tcPr>
          <w:p>
            <w:pPr>
              <w:spacing w:before="60" w:after="60"/>
            </w:pPr>
            <w:r>
              <w:rPr>
                <w:rFonts w:ascii="Arial" w:hAnsi="Arial"/>
                <w:color w:val="404040"/>
                <w:sz w:val="19"/>
              </w:rPr>
              <w:t>One record per claim line — shows what was paid, reduced, or refused</w:t>
            </w:r>
          </w:p>
        </w:tc>
      </w:tr>
      <w:tr>
        <w:tc>
          <w:tcPr>
            <w:tcW w:type="dxa" w:w="1008"/>
            <w:shd w:val="clear" w:color="auto" w:fill="F2F2F2"/>
          </w:tcPr>
          <w:p>
            <w:pPr>
              <w:spacing w:before="60" w:after="60"/>
            </w:pPr>
            <w:r>
              <w:rPr>
                <w:rFonts w:ascii="Arial" w:hAnsi="Arial"/>
                <w:color w:val="404040"/>
                <w:sz w:val="19"/>
              </w:rPr>
              <w:t>R14</w:t>
            </w:r>
          </w:p>
        </w:tc>
        <w:tc>
          <w:tcPr>
            <w:tcW w:type="dxa" w:w="2448"/>
            <w:shd w:val="clear" w:color="auto" w:fill="F2F2F2"/>
          </w:tcPr>
          <w:p>
            <w:pPr>
              <w:spacing w:before="60" w:after="60"/>
            </w:pPr>
            <w:r>
              <w:rPr>
                <w:rFonts w:ascii="Arial" w:hAnsi="Arial"/>
                <w:color w:val="404040"/>
                <w:sz w:val="19"/>
              </w:rPr>
              <w:t>Note Response</w:t>
            </w:r>
          </w:p>
        </w:tc>
        <w:tc>
          <w:tcPr>
            <w:tcW w:type="dxa" w:w="5904"/>
            <w:shd w:val="clear" w:color="auto" w:fill="F2F2F2"/>
          </w:tcPr>
          <w:p>
            <w:pPr>
              <w:spacing w:before="60" w:after="60"/>
            </w:pPr>
            <w:r>
              <w:rPr>
                <w:rFonts w:ascii="Arial" w:hAnsi="Arial"/>
                <w:color w:val="404040"/>
                <w:sz w:val="19"/>
              </w:rPr>
              <w:t>Response to a note record (N01) submitted with a claim</w:t>
            </w:r>
          </w:p>
        </w:tc>
      </w:tr>
      <w:tr>
        <w:tc>
          <w:tcPr>
            <w:tcW w:type="dxa" w:w="1008"/>
            <w:shd w:val="clear" w:color="auto" w:fill="FFFFFF"/>
          </w:tcPr>
          <w:p>
            <w:pPr>
              <w:spacing w:before="60" w:after="60"/>
            </w:pPr>
            <w:r>
              <w:rPr>
                <w:rFonts w:ascii="Arial" w:hAnsi="Arial"/>
                <w:color w:val="404040"/>
                <w:sz w:val="19"/>
              </w:rPr>
              <w:t>R32</w:t>
            </w:r>
          </w:p>
        </w:tc>
        <w:tc>
          <w:tcPr>
            <w:tcW w:type="dxa" w:w="2448"/>
            <w:shd w:val="clear" w:color="auto" w:fill="FFFFFF"/>
          </w:tcPr>
          <w:p>
            <w:pPr>
              <w:spacing w:before="60" w:after="60"/>
            </w:pPr>
            <w:r>
              <w:rPr>
                <w:rFonts w:ascii="Arial" w:hAnsi="Arial"/>
                <w:color w:val="404040"/>
                <w:sz w:val="19"/>
              </w:rPr>
              <w:t>Remittance Summary</w:t>
            </w:r>
          </w:p>
        </w:tc>
        <w:tc>
          <w:tcPr>
            <w:tcW w:type="dxa" w:w="5904"/>
            <w:shd w:val="clear" w:color="auto" w:fill="FFFFFF"/>
          </w:tcPr>
          <w:p>
            <w:pPr>
              <w:spacing w:before="60" w:after="60"/>
            </w:pPr>
            <w:r>
              <w:rPr>
                <w:rFonts w:ascii="Arial" w:hAnsi="Arial"/>
                <w:color w:val="404040"/>
                <w:sz w:val="19"/>
              </w:rPr>
              <w:t>Total paid, total refused, and net payment for the period</w:t>
            </w:r>
          </w:p>
        </w:tc>
      </w:tr>
      <w:tr>
        <w:tc>
          <w:tcPr>
            <w:tcW w:type="dxa" w:w="1008"/>
            <w:shd w:val="clear" w:color="auto" w:fill="F2F2F2"/>
          </w:tcPr>
          <w:p>
            <w:pPr>
              <w:spacing w:before="60" w:after="60"/>
            </w:pPr>
            <w:r>
              <w:rPr>
                <w:rFonts w:ascii="Arial" w:hAnsi="Arial"/>
                <w:color w:val="404040"/>
                <w:sz w:val="19"/>
              </w:rPr>
              <w:t>B14</w:t>
            </w:r>
          </w:p>
        </w:tc>
        <w:tc>
          <w:tcPr>
            <w:tcW w:type="dxa" w:w="2448"/>
            <w:shd w:val="clear" w:color="auto" w:fill="F2F2F2"/>
          </w:tcPr>
          <w:p>
            <w:pPr>
              <w:spacing w:before="60" w:after="60"/>
            </w:pPr>
            <w:r>
              <w:rPr>
                <w:rFonts w:ascii="Arial" w:hAnsi="Arial"/>
                <w:color w:val="404040"/>
                <w:sz w:val="19"/>
              </w:rPr>
              <w:t>Batch Eligibility Response</w:t>
            </w:r>
          </w:p>
        </w:tc>
        <w:tc>
          <w:tcPr>
            <w:tcW w:type="dxa" w:w="5904"/>
            <w:shd w:val="clear" w:color="auto" w:fill="F2F2F2"/>
          </w:tcPr>
          <w:p>
            <w:pPr>
              <w:spacing w:before="60" w:after="60"/>
            </w:pPr>
            <w:r>
              <w:rPr>
                <w:rFonts w:ascii="Arial" w:hAnsi="Arial"/>
                <w:color w:val="404040"/>
                <w:sz w:val="19"/>
              </w:rPr>
              <w:t>Results of the overnight B04 eligibility request</w:t>
            </w:r>
          </w:p>
        </w:tc>
      </w:tr>
    </w:tbl>
    <w:p>
      <w:pPr>
        <w:spacing w:before="0" w:after="160"/>
      </w:pPr>
    </w:p>
    <w:p>
      <w:pPr>
        <w:spacing w:before="280" w:after="80"/>
      </w:pPr>
      <w:r>
        <w:rPr>
          <w:rFonts w:ascii="Arial" w:hAnsi="Arial"/>
          <w:b/>
          <w:color w:val="2E75B6"/>
          <w:sz w:val="26"/>
        </w:rPr>
        <w:t>Reconciliation Tips</w:t>
      </w:r>
    </w:p>
    <w:p>
      <w:pPr>
        <w:pStyle w:val="ListBullet"/>
        <w:spacing w:after="60"/>
        <w:ind w:left="360"/>
      </w:pPr>
      <w:r>
        <w:rPr>
          <w:rFonts w:ascii="Arial" w:hAnsi="Arial"/>
          <w:color w:val="404040"/>
          <w:sz w:val="21"/>
        </w:rPr>
        <w:t>Cross-check total claims submitted vs. total claims on the remittance — a gap means a claim was rejected at pre-edit and never entered the system</w:t>
      </w:r>
    </w:p>
    <w:p>
      <w:pPr>
        <w:pStyle w:val="ListBullet"/>
        <w:spacing w:after="60"/>
        <w:ind w:left="360"/>
      </w:pPr>
      <w:r>
        <w:rPr>
          <w:rFonts w:ascii="Arial" w:hAnsi="Arial"/>
          <w:color w:val="404040"/>
          <w:sz w:val="21"/>
        </w:rPr>
        <w:t>A claim that does not appear on any remittance after 30 days may have been lost in transmission — contact Teleplan Support</w:t>
      </w:r>
    </w:p>
    <w:p>
      <w:pPr>
        <w:pStyle w:val="ListBullet"/>
        <w:spacing w:after="60"/>
        <w:ind w:left="360"/>
      </w:pPr>
      <w:r>
        <w:rPr>
          <w:rFonts w:ascii="Arial" w:hAnsi="Arial"/>
          <w:color w:val="404040"/>
          <w:sz w:val="21"/>
        </w:rPr>
        <w:t>Refused claims can be resubmitted after correction within 90 days of the service date — do not let refused claims sit unresolved</w:t>
      </w:r>
    </w:p>
    <w:p>
      <w:r>
        <w:br w:type="page"/>
      </w:r>
    </w:p>
    <w:p>
      <w:pPr>
        <w:spacing w:before="480" w:after="120"/>
        <w:pBdr>
          <w:bottom w:val="single" w:sz="6" w:color="2E75B6"/>
        </w:pBdr>
      </w:pPr>
      <w:r>
        <w:rPr>
          <w:rFonts w:ascii="Arial" w:hAnsi="Arial"/>
          <w:b/>
          <w:color w:val="1F3864"/>
          <w:sz w:val="36"/>
        </w:rPr>
        <w:t>7.  Common Support Scenarios</w:t>
      </w:r>
    </w:p>
    <w:p>
      <w:pPr>
        <w:spacing w:before="280" w:after="80"/>
      </w:pPr>
      <w:r>
        <w:rPr>
          <w:rFonts w:ascii="Arial" w:hAnsi="Arial"/>
          <w:b/>
          <w:color w:val="2E75B6"/>
          <w:sz w:val="26"/>
        </w:rPr>
        <w:t>"My claims are not on the remittance"</w:t>
      </w:r>
    </w:p>
    <w:p>
      <w:pPr>
        <w:pStyle w:val="ListBullet"/>
        <w:spacing w:after="60"/>
        <w:ind w:left="360"/>
      </w:pPr>
      <w:r>
        <w:rPr>
          <w:rFonts w:ascii="Arial" w:hAnsi="Arial"/>
          <w:color w:val="404040"/>
          <w:sz w:val="21"/>
        </w:rPr>
        <w:t>Check if the submission was successful — did Sky Claims log a successful Teleplan transmission?</w:t>
      </w:r>
    </w:p>
    <w:p>
      <w:pPr>
        <w:pStyle w:val="ListBullet"/>
        <w:spacing w:after="60"/>
        <w:ind w:left="360"/>
      </w:pPr>
      <w:r>
        <w:rPr>
          <w:rFonts w:ascii="Arial" w:hAnsi="Arial"/>
          <w:color w:val="404040"/>
          <w:sz w:val="21"/>
        </w:rPr>
        <w:t>Check for pre-edit errors — these reject the file before it enters MSP's system</w:t>
      </w:r>
    </w:p>
    <w:p>
      <w:pPr>
        <w:pStyle w:val="ListBullet"/>
        <w:spacing w:after="60"/>
        <w:ind w:left="360"/>
      </w:pPr>
      <w:r>
        <w:rPr>
          <w:rFonts w:ascii="Arial" w:hAnsi="Arial"/>
          <w:color w:val="404040"/>
          <w:sz w:val="21"/>
        </w:rPr>
        <w:t>If submitted in the last 14 to 30 days, the remittance may not yet be available</w:t>
      </w:r>
    </w:p>
    <w:p>
      <w:pPr>
        <w:pStyle w:val="ListBullet"/>
        <w:spacing w:after="60"/>
        <w:ind w:left="360"/>
      </w:pPr>
      <w:r>
        <w:rPr>
          <w:rFonts w:ascii="Arial" w:hAnsi="Arial"/>
          <w:color w:val="404040"/>
          <w:sz w:val="21"/>
        </w:rPr>
        <w:t>If it has been over 30 days, contact Teleplan Support and request a trace on the submission</w:t>
      </w:r>
    </w:p>
    <w:p>
      <w:pPr>
        <w:spacing w:before="280" w:after="80"/>
      </w:pPr>
      <w:r>
        <w:rPr>
          <w:rFonts w:ascii="Arial" w:hAnsi="Arial"/>
          <w:b/>
          <w:color w:val="2E75B6"/>
          <w:sz w:val="26"/>
        </w:rPr>
        <w:t>"My patient has MSP but the claim was refused for ineligibility"</w:t>
      </w:r>
    </w:p>
    <w:p>
      <w:pPr>
        <w:pStyle w:val="ListBullet"/>
        <w:spacing w:after="60"/>
        <w:ind w:left="360"/>
      </w:pPr>
      <w:r>
        <w:rPr>
          <w:rFonts w:ascii="Arial" w:hAnsi="Arial"/>
          <w:color w:val="404040"/>
          <w:sz w:val="21"/>
        </w:rPr>
        <w:t>Confirm the PHN is correct — a single wrong digit sends the claim to a different patient record</w:t>
      </w:r>
    </w:p>
    <w:p>
      <w:pPr>
        <w:pStyle w:val="ListBullet"/>
        <w:spacing w:after="60"/>
        <w:ind w:left="360"/>
      </w:pPr>
      <w:r>
        <w:rPr>
          <w:rFonts w:ascii="Arial" w:hAnsi="Arial"/>
          <w:color w:val="404040"/>
          <w:sz w:val="21"/>
        </w:rPr>
        <w:t>Check if the patient recently moved to BC (3-month waiting period applies)</w:t>
      </w:r>
    </w:p>
    <w:p>
      <w:pPr>
        <w:pStyle w:val="ListBullet"/>
        <w:spacing w:after="60"/>
        <w:ind w:left="360"/>
      </w:pPr>
      <w:r>
        <w:rPr>
          <w:rFonts w:ascii="Arial" w:hAnsi="Arial"/>
          <w:color w:val="404040"/>
          <w:sz w:val="21"/>
        </w:rPr>
        <w:t>Check if the patient moved out of BC — coverage ends when primary residence changes</w:t>
      </w:r>
    </w:p>
    <w:p>
      <w:pPr>
        <w:pStyle w:val="ListBullet"/>
        <w:spacing w:after="60"/>
        <w:ind w:left="360"/>
      </w:pPr>
      <w:r>
        <w:rPr>
          <w:rFonts w:ascii="Arial" w:hAnsi="Arial"/>
          <w:color w:val="404040"/>
          <w:sz w:val="21"/>
        </w:rPr>
        <w:t>Ask the patient to call MSP directly to confirm their registration: 1-800-663-7100</w:t>
      </w:r>
    </w:p>
    <w:p>
      <w:pPr>
        <w:spacing w:before="280" w:after="80"/>
      </w:pPr>
      <w:r>
        <w:rPr>
          <w:rFonts w:ascii="Arial" w:hAnsi="Arial"/>
          <w:b/>
          <w:color w:val="2E75B6"/>
          <w:sz w:val="26"/>
        </w:rPr>
        <w:t>"The sequence number is wrong — all my claims are being rejected"</w:t>
      </w:r>
    </w:p>
    <w:p>
      <w:pPr>
        <w:spacing w:after="120"/>
      </w:pPr>
      <w:r>
        <w:rPr>
          <w:rFonts w:ascii="Arial" w:hAnsi="Arial"/>
          <w:i w:val="0"/>
          <w:color w:val="404040"/>
          <w:sz w:val="21"/>
        </w:rPr>
        <w:t>Data centre sequence numbers must be strictly sequential. If a number is skipped or duplicated, every subsequent transmission fails.</w:t>
      </w:r>
    </w:p>
    <w:p>
      <w:pPr>
        <w:pStyle w:val="ListBullet"/>
        <w:spacing w:after="60"/>
        <w:ind w:left="360"/>
      </w:pPr>
      <w:r>
        <w:rPr>
          <w:rFonts w:ascii="Arial" w:hAnsi="Arial"/>
          <w:color w:val="404040"/>
          <w:sz w:val="21"/>
        </w:rPr>
        <w:t>Do NOT attempt to manually resend — this usually makes it worse</w:t>
      </w:r>
    </w:p>
    <w:p>
      <w:pPr>
        <w:pStyle w:val="ListBullet"/>
        <w:spacing w:after="60"/>
        <w:ind w:left="360"/>
      </w:pPr>
      <w:r>
        <w:rPr>
          <w:rFonts w:ascii="Arial" w:hAnsi="Arial"/>
          <w:color w:val="404040"/>
          <w:sz w:val="21"/>
        </w:rPr>
        <w:t>Contact Teleplan Support — they can reset the sequence number on their end</w:t>
      </w:r>
    </w:p>
    <w:p>
      <w:pPr>
        <w:pStyle w:val="ListBullet"/>
        <w:spacing w:after="60"/>
        <w:ind w:left="360"/>
      </w:pPr>
      <w:r>
        <w:rPr>
          <w:rFonts w:ascii="Arial" w:hAnsi="Arial"/>
          <w:color w:val="404040"/>
          <w:sz w:val="21"/>
        </w:rPr>
        <w:t>Once reset, resubmit the affected claims in the correct order</w:t>
      </w:r>
    </w:p>
    <w:p>
      <w:pPr>
        <w:spacing w:before="280" w:after="80"/>
      </w:pPr>
      <w:r>
        <w:rPr>
          <w:rFonts w:ascii="Arial" w:hAnsi="Arial"/>
          <w:b/>
          <w:color w:val="2E75B6"/>
          <w:sz w:val="26"/>
        </w:rPr>
        <w:t>"A claim was submitted with the wrong PHN — can we fix it?"</w:t>
      </w:r>
    </w:p>
    <w:p>
      <w:pPr>
        <w:spacing w:after="120"/>
      </w:pPr>
      <w:r>
        <w:rPr>
          <w:rFonts w:ascii="Arial" w:hAnsi="Arial"/>
          <w:i w:val="0"/>
          <w:color w:val="404040"/>
          <w:sz w:val="21"/>
        </w:rPr>
        <w:t>If not yet assessed, contact Teleplan Support immediately to have it "zapped" (cancelled), then resubmit with the correct PHN. If already assessed, MSP must reverse and reprocess — this requires a manual request and takes longer.</w:t>
      </w:r>
    </w:p>
    <w:p>
      <w:r>
        <w:br w:type="page"/>
      </w:r>
    </w:p>
    <w:p>
      <w:pPr>
        <w:spacing w:before="480" w:after="120"/>
        <w:pBdr>
          <w:bottom w:val="single" w:sz="6" w:color="2E75B6"/>
        </w:pBdr>
      </w:pPr>
      <w:r>
        <w:rPr>
          <w:rFonts w:ascii="Arial" w:hAnsi="Arial"/>
          <w:b/>
          <w:color w:val="1F3864"/>
          <w:sz w:val="36"/>
        </w:rPr>
        <w:t>8.  Key Contacts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1F3864"/>
          </w:tcPr>
          <w:p>
            <w:pPr>
              <w:spacing w:before="60" w:after="60"/>
            </w:pPr>
            <w:r>
              <w:rPr>
                <w:rFonts w:ascii="Arial" w:hAnsi="Arial"/>
                <w:b/>
                <w:color w:val="FFFFFF"/>
                <w:sz w:val="19"/>
              </w:rPr>
              <w:t>Contact</w:t>
            </w:r>
          </w:p>
        </w:tc>
        <w:tc>
          <w:tcPr>
            <w:tcW w:type="dxa" w:w="3888"/>
            <w:shd w:val="clear" w:color="auto" w:fill="1F3864"/>
          </w:tcPr>
          <w:p>
            <w:pPr>
              <w:spacing w:before="60" w:after="60"/>
            </w:pPr>
            <w:r>
              <w:rPr>
                <w:rFonts w:ascii="Arial" w:hAnsi="Arial"/>
                <w:b/>
                <w:color w:val="FFFFFF"/>
                <w:sz w:val="19"/>
              </w:rPr>
              <w:t>For What</w:t>
            </w:r>
          </w:p>
        </w:tc>
        <w:tc>
          <w:tcPr>
            <w:tcW w:type="dxa" w:w="3168"/>
            <w:shd w:val="clear" w:color="auto" w:fill="1F3864"/>
          </w:tcPr>
          <w:p>
            <w:pPr>
              <w:spacing w:before="60" w:after="60"/>
            </w:pPr>
            <w:r>
              <w:rPr>
                <w:rFonts w:ascii="Arial" w:hAnsi="Arial"/>
                <w:b/>
                <w:color w:val="FFFFFF"/>
                <w:sz w:val="19"/>
              </w:rPr>
              <w:t>How to Reach</w:t>
            </w:r>
          </w:p>
        </w:tc>
      </w:tr>
      <w:tr>
        <w:tc>
          <w:tcPr>
            <w:tcW w:type="dxa" w:w="2304"/>
            <w:shd w:val="clear" w:color="auto" w:fill="FFFFFF"/>
          </w:tcPr>
          <w:p>
            <w:pPr>
              <w:spacing w:before="60" w:after="60"/>
            </w:pPr>
            <w:r>
              <w:rPr>
                <w:rFonts w:ascii="Arial" w:hAnsi="Arial"/>
                <w:color w:val="404040"/>
                <w:sz w:val="19"/>
              </w:rPr>
              <w:t>Teleplan Support Centre</w:t>
            </w:r>
          </w:p>
        </w:tc>
        <w:tc>
          <w:tcPr>
            <w:tcW w:type="dxa" w:w="3888"/>
            <w:shd w:val="clear" w:color="auto" w:fill="FFFFFF"/>
          </w:tcPr>
          <w:p>
            <w:pPr>
              <w:spacing w:before="60" w:after="60"/>
            </w:pPr>
            <w:r>
              <w:rPr>
                <w:rFonts w:ascii="Arial" w:hAnsi="Arial"/>
                <w:color w:val="404040"/>
                <w:sz w:val="19"/>
              </w:rPr>
              <w:t>Electronic billing problems, sequence errors, zapping claims, password resets, remittance questions</w:t>
            </w:r>
          </w:p>
        </w:tc>
        <w:tc>
          <w:tcPr>
            <w:tcW w:type="dxa" w:w="3168"/>
            <w:shd w:val="clear" w:color="auto" w:fill="FFFFFF"/>
          </w:tcPr>
          <w:p>
            <w:pPr>
              <w:spacing w:before="60" w:after="60"/>
            </w:pPr>
            <w:r>
              <w:rPr>
                <w:rFonts w:ascii="Arial" w:hAnsi="Arial"/>
                <w:color w:val="404040"/>
                <w:sz w:val="19"/>
              </w:rPr>
              <w:t>(604) 456-6950 or 1-866-456-6950 → Press 3 → Press 2</w:t>
            </w:r>
          </w:p>
        </w:tc>
      </w:tr>
      <w:tr>
        <w:tc>
          <w:tcPr>
            <w:tcW w:type="dxa" w:w="2304"/>
            <w:shd w:val="clear" w:color="auto" w:fill="F2F2F2"/>
          </w:tcPr>
          <w:p>
            <w:pPr>
              <w:spacing w:before="60" w:after="60"/>
            </w:pPr>
            <w:r>
              <w:rPr>
                <w:rFonts w:ascii="Arial" w:hAnsi="Arial"/>
                <w:color w:val="404040"/>
                <w:sz w:val="19"/>
              </w:rPr>
              <w:t>MSP (Patient Inquiries)</w:t>
            </w:r>
          </w:p>
        </w:tc>
        <w:tc>
          <w:tcPr>
            <w:tcW w:type="dxa" w:w="3888"/>
            <w:shd w:val="clear" w:color="auto" w:fill="F2F2F2"/>
          </w:tcPr>
          <w:p>
            <w:pPr>
              <w:spacing w:before="60" w:after="60"/>
            </w:pPr>
            <w:r>
              <w:rPr>
                <w:rFonts w:ascii="Arial" w:hAnsi="Arial"/>
                <w:color w:val="404040"/>
                <w:sz w:val="19"/>
              </w:rPr>
              <w:t>Patient eligibility, PHN corrections, registration status</w:t>
            </w:r>
          </w:p>
        </w:tc>
        <w:tc>
          <w:tcPr>
            <w:tcW w:type="dxa" w:w="3168"/>
            <w:shd w:val="clear" w:color="auto" w:fill="F2F2F2"/>
          </w:tcPr>
          <w:p>
            <w:pPr>
              <w:spacing w:before="60" w:after="60"/>
            </w:pPr>
            <w:r>
              <w:rPr>
                <w:rFonts w:ascii="Arial" w:hAnsi="Arial"/>
                <w:color w:val="404040"/>
                <w:sz w:val="19"/>
              </w:rPr>
              <w:t>1-800-663-7100</w:t>
            </w:r>
          </w:p>
        </w:tc>
      </w:tr>
      <w:tr>
        <w:tc>
          <w:tcPr>
            <w:tcW w:type="dxa" w:w="2304"/>
            <w:shd w:val="clear" w:color="auto" w:fill="FFFFFF"/>
          </w:tcPr>
          <w:p>
            <w:pPr>
              <w:spacing w:before="60" w:after="60"/>
            </w:pPr>
            <w:r>
              <w:rPr>
                <w:rFonts w:ascii="Arial" w:hAnsi="Arial"/>
                <w:color w:val="404040"/>
                <w:sz w:val="19"/>
              </w:rPr>
              <w:t>MSP Provider Enrollment</w:t>
            </w:r>
          </w:p>
        </w:tc>
        <w:tc>
          <w:tcPr>
            <w:tcW w:type="dxa" w:w="3888"/>
            <w:shd w:val="clear" w:color="auto" w:fill="FFFFFF"/>
          </w:tcPr>
          <w:p>
            <w:pPr>
              <w:spacing w:before="60" w:after="60"/>
            </w:pPr>
            <w:r>
              <w:rPr>
                <w:rFonts w:ascii="Arial" w:hAnsi="Arial"/>
                <w:color w:val="404040"/>
                <w:sz w:val="19"/>
              </w:rPr>
              <w:t>New provider registration, specialty changes, PLC setup</w:t>
            </w:r>
          </w:p>
        </w:tc>
        <w:tc>
          <w:tcPr>
            <w:tcW w:type="dxa" w:w="3168"/>
            <w:shd w:val="clear" w:color="auto" w:fill="FFFFFF"/>
          </w:tcPr>
          <w:p>
            <w:pPr>
              <w:spacing w:before="60" w:after="60"/>
            </w:pPr>
            <w:r>
              <w:rPr>
                <w:rFonts w:ascii="Arial" w:hAnsi="Arial"/>
                <w:color w:val="404040"/>
                <w:sz w:val="19"/>
              </w:rPr>
              <w:t>1-866-456-6950</w:t>
            </w:r>
          </w:p>
        </w:tc>
      </w:tr>
      <w:tr>
        <w:tc>
          <w:tcPr>
            <w:tcW w:type="dxa" w:w="2304"/>
            <w:shd w:val="clear" w:color="auto" w:fill="F2F2F2"/>
          </w:tcPr>
          <w:p>
            <w:pPr>
              <w:spacing w:before="60" w:after="60"/>
            </w:pPr>
            <w:r>
              <w:rPr>
                <w:rFonts w:ascii="Arial" w:hAnsi="Arial"/>
                <w:color w:val="404040"/>
                <w:sz w:val="19"/>
              </w:rPr>
              <w:t>Teleplan Website</w:t>
            </w:r>
          </w:p>
        </w:tc>
        <w:tc>
          <w:tcPr>
            <w:tcW w:type="dxa" w:w="3888"/>
            <w:shd w:val="clear" w:color="auto" w:fill="F2F2F2"/>
          </w:tcPr>
          <w:p>
            <w:pPr>
              <w:spacing w:before="60" w:after="60"/>
            </w:pPr>
            <w:r>
              <w:rPr>
                <w:rFonts w:ascii="Arial" w:hAnsi="Arial"/>
                <w:color w:val="404040"/>
                <w:sz w:val="19"/>
              </w:rPr>
              <w:t>Submission portal, specifications, forms</w:t>
            </w:r>
          </w:p>
        </w:tc>
        <w:tc>
          <w:tcPr>
            <w:tcW w:type="dxa" w:w="3168"/>
            <w:shd w:val="clear" w:color="auto" w:fill="F2F2F2"/>
          </w:tcPr>
          <w:p>
            <w:pPr>
              <w:spacing w:before="60" w:after="60"/>
            </w:pPr>
            <w:r>
              <w:rPr>
                <w:rFonts w:ascii="Arial" w:hAnsi="Arial"/>
                <w:color w:val="404040"/>
                <w:sz w:val="19"/>
              </w:rPr>
              <w:t>https://teleplan.hnet.bc.ca</w:t>
            </w:r>
          </w:p>
        </w:tc>
      </w:tr>
    </w:tbl>
    <w:p>
      <w:pPr>
        <w:spacing w:before="0" w:after="160"/>
      </w:pPr>
    </w:p>
    <w:p>
      <w:pPr>
        <w:spacing w:before="480" w:after="120"/>
        <w:pBdr>
          <w:bottom w:val="single" w:sz="6" w:color="2E75B6"/>
        </w:pBdr>
      </w:pPr>
      <w:r>
        <w:rPr>
          <w:rFonts w:ascii="Arial" w:hAnsi="Arial"/>
          <w:b/>
          <w:color w:val="1F3864"/>
          <w:sz w:val="36"/>
        </w:rPr>
        <w:t>9.  Glossary</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864"/>
          </w:tcPr>
          <w:p>
            <w:pPr>
              <w:spacing w:before="60" w:after="60"/>
            </w:pPr>
            <w:r>
              <w:rPr>
                <w:rFonts w:ascii="Arial" w:hAnsi="Arial"/>
                <w:b/>
                <w:color w:val="FFFFFF"/>
                <w:sz w:val="19"/>
              </w:rPr>
              <w:t>Term</w:t>
            </w:r>
          </w:p>
        </w:tc>
        <w:tc>
          <w:tcPr>
            <w:tcW w:type="dxa" w:w="6912"/>
            <w:shd w:val="clear" w:color="auto" w:fill="1F3864"/>
          </w:tcPr>
          <w:p>
            <w:pPr>
              <w:spacing w:before="60" w:after="60"/>
            </w:pPr>
            <w:r>
              <w:rPr>
                <w:rFonts w:ascii="Arial" w:hAnsi="Arial"/>
                <w:b/>
                <w:color w:val="FFFFFF"/>
                <w:sz w:val="19"/>
              </w:rPr>
              <w:t>Definition</w:t>
            </w:r>
          </w:p>
        </w:tc>
      </w:tr>
      <w:tr>
        <w:tc>
          <w:tcPr>
            <w:tcW w:type="dxa" w:w="2448"/>
            <w:shd w:val="clear" w:color="auto" w:fill="FFFFFF"/>
          </w:tcPr>
          <w:p>
            <w:pPr>
              <w:spacing w:before="60" w:after="60"/>
            </w:pPr>
            <w:r>
              <w:rPr>
                <w:rFonts w:ascii="Arial" w:hAnsi="Arial"/>
                <w:color w:val="404040"/>
                <w:sz w:val="19"/>
              </w:rPr>
              <w:t>MSP</w:t>
            </w:r>
          </w:p>
        </w:tc>
        <w:tc>
          <w:tcPr>
            <w:tcW w:type="dxa" w:w="6912"/>
            <w:shd w:val="clear" w:color="auto" w:fill="FFFFFF"/>
          </w:tcPr>
          <w:p>
            <w:pPr>
              <w:spacing w:before="60" w:after="60"/>
            </w:pPr>
            <w:r>
              <w:rPr>
                <w:rFonts w:ascii="Arial" w:hAnsi="Arial"/>
                <w:color w:val="404040"/>
                <w:sz w:val="19"/>
              </w:rPr>
              <w:t>Medical Services Plan — BC's government health insurance for physician services</w:t>
            </w:r>
          </w:p>
        </w:tc>
      </w:tr>
      <w:tr>
        <w:tc>
          <w:tcPr>
            <w:tcW w:type="dxa" w:w="2448"/>
            <w:shd w:val="clear" w:color="auto" w:fill="F2F2F2"/>
          </w:tcPr>
          <w:p>
            <w:pPr>
              <w:spacing w:before="60" w:after="60"/>
            </w:pPr>
            <w:r>
              <w:rPr>
                <w:rFonts w:ascii="Arial" w:hAnsi="Arial"/>
                <w:color w:val="404040"/>
                <w:sz w:val="19"/>
              </w:rPr>
              <w:t>Teleplan</w:t>
            </w:r>
          </w:p>
        </w:tc>
        <w:tc>
          <w:tcPr>
            <w:tcW w:type="dxa" w:w="6912"/>
            <w:shd w:val="clear" w:color="auto" w:fill="F2F2F2"/>
          </w:tcPr>
          <w:p>
            <w:pPr>
              <w:spacing w:before="60" w:after="60"/>
            </w:pPr>
            <w:r>
              <w:rPr>
                <w:rFonts w:ascii="Arial" w:hAnsi="Arial"/>
                <w:color w:val="404040"/>
                <w:sz w:val="19"/>
              </w:rPr>
              <w:t>MSP's electronic claims submission and remittance retrieval system</w:t>
            </w:r>
          </w:p>
        </w:tc>
      </w:tr>
      <w:tr>
        <w:tc>
          <w:tcPr>
            <w:tcW w:type="dxa" w:w="2448"/>
            <w:shd w:val="clear" w:color="auto" w:fill="FFFFFF"/>
          </w:tcPr>
          <w:p>
            <w:pPr>
              <w:spacing w:before="60" w:after="60"/>
            </w:pPr>
            <w:r>
              <w:rPr>
                <w:rFonts w:ascii="Arial" w:hAnsi="Arial"/>
                <w:color w:val="404040"/>
                <w:sz w:val="19"/>
              </w:rPr>
              <w:t>PHN</w:t>
            </w:r>
          </w:p>
        </w:tc>
        <w:tc>
          <w:tcPr>
            <w:tcW w:type="dxa" w:w="6912"/>
            <w:shd w:val="clear" w:color="auto" w:fill="FFFFFF"/>
          </w:tcPr>
          <w:p>
            <w:pPr>
              <w:spacing w:before="60" w:after="60"/>
            </w:pPr>
            <w:r>
              <w:rPr>
                <w:rFonts w:ascii="Arial" w:hAnsi="Arial"/>
                <w:color w:val="404040"/>
                <w:sz w:val="19"/>
              </w:rPr>
              <w:t>Personal Health Number — the patient's unique 10-digit MSP identifier</w:t>
            </w:r>
          </w:p>
        </w:tc>
      </w:tr>
      <w:tr>
        <w:tc>
          <w:tcPr>
            <w:tcW w:type="dxa" w:w="2448"/>
            <w:shd w:val="clear" w:color="auto" w:fill="F2F2F2"/>
          </w:tcPr>
          <w:p>
            <w:pPr>
              <w:spacing w:before="60" w:after="60"/>
            </w:pPr>
            <w:r>
              <w:rPr>
                <w:rFonts w:ascii="Arial" w:hAnsi="Arial"/>
                <w:color w:val="404040"/>
                <w:sz w:val="19"/>
              </w:rPr>
              <w:t>DC ID</w:t>
            </w:r>
          </w:p>
        </w:tc>
        <w:tc>
          <w:tcPr>
            <w:tcW w:type="dxa" w:w="6912"/>
            <w:shd w:val="clear" w:color="auto" w:fill="F2F2F2"/>
          </w:tcPr>
          <w:p>
            <w:pPr>
              <w:spacing w:before="60" w:after="60"/>
            </w:pPr>
            <w:r>
              <w:rPr>
                <w:rFonts w:ascii="Arial" w:hAnsi="Arial"/>
                <w:color w:val="404040"/>
                <w:sz w:val="19"/>
              </w:rPr>
              <w:t>Data Centre ID — the provider's Teleplan login identifier (separate from their practitioner number)</w:t>
            </w:r>
          </w:p>
        </w:tc>
      </w:tr>
      <w:tr>
        <w:tc>
          <w:tcPr>
            <w:tcW w:type="dxa" w:w="2448"/>
            <w:shd w:val="clear" w:color="auto" w:fill="FFFFFF"/>
          </w:tcPr>
          <w:p>
            <w:pPr>
              <w:spacing w:before="60" w:after="60"/>
            </w:pPr>
            <w:r>
              <w:rPr>
                <w:rFonts w:ascii="Arial" w:hAnsi="Arial"/>
                <w:color w:val="404040"/>
                <w:sz w:val="19"/>
              </w:rPr>
              <w:t>Practitioner Number</w:t>
            </w:r>
          </w:p>
        </w:tc>
        <w:tc>
          <w:tcPr>
            <w:tcW w:type="dxa" w:w="6912"/>
            <w:shd w:val="clear" w:color="auto" w:fill="FFFFFF"/>
          </w:tcPr>
          <w:p>
            <w:pPr>
              <w:spacing w:before="60" w:after="60"/>
            </w:pPr>
            <w:r>
              <w:rPr>
                <w:rFonts w:ascii="Arial" w:hAnsi="Arial"/>
                <w:color w:val="404040"/>
                <w:sz w:val="19"/>
              </w:rPr>
              <w:t>The MSP-assigned identifier for the healthcare provider (7 characters)</w:t>
            </w:r>
          </w:p>
        </w:tc>
      </w:tr>
      <w:tr>
        <w:tc>
          <w:tcPr>
            <w:tcW w:type="dxa" w:w="2448"/>
            <w:shd w:val="clear" w:color="auto" w:fill="F2F2F2"/>
          </w:tcPr>
          <w:p>
            <w:pPr>
              <w:spacing w:before="60" w:after="60"/>
            </w:pPr>
            <w:r>
              <w:rPr>
                <w:rFonts w:ascii="Arial" w:hAnsi="Arial"/>
                <w:color w:val="404040"/>
                <w:sz w:val="19"/>
              </w:rPr>
              <w:t>PLC</w:t>
            </w:r>
          </w:p>
        </w:tc>
        <w:tc>
          <w:tcPr>
            <w:tcW w:type="dxa" w:w="6912"/>
            <w:shd w:val="clear" w:color="auto" w:fill="F2F2F2"/>
          </w:tcPr>
          <w:p>
            <w:pPr>
              <w:spacing w:before="60" w:after="60"/>
            </w:pPr>
            <w:r>
              <w:rPr>
                <w:rFonts w:ascii="Arial" w:hAnsi="Arial"/>
                <w:color w:val="404040"/>
                <w:sz w:val="19"/>
              </w:rPr>
              <w:t>Practice Location Code — where the service was provided; affects fee amounts</w:t>
            </w:r>
          </w:p>
        </w:tc>
      </w:tr>
      <w:tr>
        <w:tc>
          <w:tcPr>
            <w:tcW w:type="dxa" w:w="2448"/>
            <w:shd w:val="clear" w:color="auto" w:fill="FFFFFF"/>
          </w:tcPr>
          <w:p>
            <w:pPr>
              <w:spacing w:before="60" w:after="60"/>
            </w:pPr>
            <w:r>
              <w:rPr>
                <w:rFonts w:ascii="Arial" w:hAnsi="Arial"/>
                <w:color w:val="404040"/>
                <w:sz w:val="19"/>
              </w:rPr>
              <w:t>C02</w:t>
            </w:r>
          </w:p>
        </w:tc>
        <w:tc>
          <w:tcPr>
            <w:tcW w:type="dxa" w:w="6912"/>
            <w:shd w:val="clear" w:color="auto" w:fill="FFFFFF"/>
          </w:tcPr>
          <w:p>
            <w:pPr>
              <w:spacing w:before="60" w:after="60"/>
            </w:pPr>
            <w:r>
              <w:rPr>
                <w:rFonts w:ascii="Arial" w:hAnsi="Arial"/>
                <w:color w:val="404040"/>
                <w:sz w:val="19"/>
              </w:rPr>
              <w:t>The Teleplan record type for a medical service claim</w:t>
            </w:r>
          </w:p>
        </w:tc>
      </w:tr>
      <w:tr>
        <w:tc>
          <w:tcPr>
            <w:tcW w:type="dxa" w:w="2448"/>
            <w:shd w:val="clear" w:color="auto" w:fill="F2F2F2"/>
          </w:tcPr>
          <w:p>
            <w:pPr>
              <w:spacing w:before="60" w:after="60"/>
            </w:pPr>
            <w:r>
              <w:rPr>
                <w:rFonts w:ascii="Arial" w:hAnsi="Arial"/>
                <w:color w:val="404040"/>
                <w:sz w:val="19"/>
              </w:rPr>
              <w:t>B04</w:t>
            </w:r>
          </w:p>
        </w:tc>
        <w:tc>
          <w:tcPr>
            <w:tcW w:type="dxa" w:w="6912"/>
            <w:shd w:val="clear" w:color="auto" w:fill="F2F2F2"/>
          </w:tcPr>
          <w:p>
            <w:pPr>
              <w:spacing w:before="60" w:after="60"/>
            </w:pPr>
            <w:r>
              <w:rPr>
                <w:rFonts w:ascii="Arial" w:hAnsi="Arial"/>
                <w:color w:val="404040"/>
                <w:sz w:val="19"/>
              </w:rPr>
              <w:t>Batch Eligibility Request — check eligibility for multiple patients overnight</w:t>
            </w:r>
          </w:p>
        </w:tc>
      </w:tr>
      <w:tr>
        <w:tc>
          <w:tcPr>
            <w:tcW w:type="dxa" w:w="2448"/>
            <w:shd w:val="clear" w:color="auto" w:fill="FFFFFF"/>
          </w:tcPr>
          <w:p>
            <w:pPr>
              <w:spacing w:before="60" w:after="60"/>
            </w:pPr>
            <w:r>
              <w:rPr>
                <w:rFonts w:ascii="Arial" w:hAnsi="Arial"/>
                <w:color w:val="404040"/>
                <w:sz w:val="19"/>
              </w:rPr>
              <w:t>R15</w:t>
            </w:r>
          </w:p>
        </w:tc>
        <w:tc>
          <w:tcPr>
            <w:tcW w:type="dxa" w:w="6912"/>
            <w:shd w:val="clear" w:color="auto" w:fill="FFFFFF"/>
          </w:tcPr>
          <w:p>
            <w:pPr>
              <w:spacing w:before="60" w:after="60"/>
            </w:pPr>
            <w:r>
              <w:rPr>
                <w:rFonts w:ascii="Arial" w:hAnsi="Arial"/>
                <w:color w:val="404040"/>
                <w:sz w:val="19"/>
              </w:rPr>
              <w:t>Remittance claim detail record — shows payment/refusal result for each claim</w:t>
            </w:r>
          </w:p>
        </w:tc>
      </w:tr>
      <w:tr>
        <w:tc>
          <w:tcPr>
            <w:tcW w:type="dxa" w:w="2448"/>
            <w:shd w:val="clear" w:color="auto" w:fill="F2F2F2"/>
          </w:tcPr>
          <w:p>
            <w:pPr>
              <w:spacing w:before="60" w:after="60"/>
            </w:pPr>
            <w:r>
              <w:rPr>
                <w:rFonts w:ascii="Arial" w:hAnsi="Arial"/>
                <w:color w:val="404040"/>
                <w:sz w:val="19"/>
              </w:rPr>
              <w:t>Pre-edit</w:t>
            </w:r>
          </w:p>
        </w:tc>
        <w:tc>
          <w:tcPr>
            <w:tcW w:type="dxa" w:w="6912"/>
            <w:shd w:val="clear" w:color="auto" w:fill="F2F2F2"/>
          </w:tcPr>
          <w:p>
            <w:pPr>
              <w:spacing w:before="60" w:after="60"/>
            </w:pPr>
            <w:r>
              <w:rPr>
                <w:rFonts w:ascii="Arial" w:hAnsi="Arial"/>
                <w:color w:val="404040"/>
                <w:sz w:val="19"/>
              </w:rPr>
              <w:t>First-stage format validation before claims enter MSP's assessment system</w:t>
            </w:r>
          </w:p>
        </w:tc>
      </w:tr>
      <w:tr>
        <w:tc>
          <w:tcPr>
            <w:tcW w:type="dxa" w:w="2448"/>
            <w:shd w:val="clear" w:color="auto" w:fill="FFFFFF"/>
          </w:tcPr>
          <w:p>
            <w:pPr>
              <w:spacing w:before="60" w:after="60"/>
            </w:pPr>
            <w:r>
              <w:rPr>
                <w:rFonts w:ascii="Arial" w:hAnsi="Arial"/>
                <w:color w:val="404040"/>
                <w:sz w:val="19"/>
              </w:rPr>
              <w:t>Assessment</w:t>
            </w:r>
          </w:p>
        </w:tc>
        <w:tc>
          <w:tcPr>
            <w:tcW w:type="dxa" w:w="6912"/>
            <w:shd w:val="clear" w:color="auto" w:fill="FFFFFF"/>
          </w:tcPr>
          <w:p>
            <w:pPr>
              <w:spacing w:before="60" w:after="60"/>
            </w:pPr>
            <w:r>
              <w:rPr>
                <w:rFonts w:ascii="Arial" w:hAnsi="Arial"/>
                <w:color w:val="404040"/>
                <w:sz w:val="19"/>
              </w:rPr>
              <w:t>Second-stage clinical adjudication — determines if and how much is paid</w:t>
            </w:r>
          </w:p>
        </w:tc>
      </w:tr>
      <w:tr>
        <w:tc>
          <w:tcPr>
            <w:tcW w:type="dxa" w:w="2448"/>
            <w:shd w:val="clear" w:color="auto" w:fill="F2F2F2"/>
          </w:tcPr>
          <w:p>
            <w:pPr>
              <w:spacing w:before="60" w:after="60"/>
            </w:pPr>
            <w:r>
              <w:rPr>
                <w:rFonts w:ascii="Arial" w:hAnsi="Arial"/>
                <w:color w:val="404040"/>
                <w:sz w:val="19"/>
              </w:rPr>
              <w:t>Remittance</w:t>
            </w:r>
          </w:p>
        </w:tc>
        <w:tc>
          <w:tcPr>
            <w:tcW w:type="dxa" w:w="6912"/>
            <w:shd w:val="clear" w:color="auto" w:fill="F2F2F2"/>
          </w:tcPr>
          <w:p>
            <w:pPr>
              <w:spacing w:before="60" w:after="60"/>
            </w:pPr>
            <w:r>
              <w:rPr>
                <w:rFonts w:ascii="Arial" w:hAnsi="Arial"/>
                <w:color w:val="404040"/>
                <w:sz w:val="19"/>
              </w:rPr>
              <w:t>MSP's report showing what was paid, reduced, or refused for submitted claims</w:t>
            </w:r>
          </w:p>
        </w:tc>
      </w:tr>
      <w:tr>
        <w:tc>
          <w:tcPr>
            <w:tcW w:type="dxa" w:w="2448"/>
            <w:shd w:val="clear" w:color="auto" w:fill="FFFFFF"/>
          </w:tcPr>
          <w:p>
            <w:pPr>
              <w:spacing w:before="60" w:after="60"/>
            </w:pPr>
            <w:r>
              <w:rPr>
                <w:rFonts w:ascii="Arial" w:hAnsi="Arial"/>
                <w:color w:val="404040"/>
                <w:sz w:val="19"/>
              </w:rPr>
              <w:t>Opted-out</w:t>
            </w:r>
          </w:p>
        </w:tc>
        <w:tc>
          <w:tcPr>
            <w:tcW w:type="dxa" w:w="6912"/>
            <w:shd w:val="clear" w:color="auto" w:fill="FFFFFF"/>
          </w:tcPr>
          <w:p>
            <w:pPr>
              <w:spacing w:before="60" w:after="60"/>
            </w:pPr>
            <w:r>
              <w:rPr>
                <w:rFonts w:ascii="Arial" w:hAnsi="Arial"/>
                <w:color w:val="404040"/>
                <w:sz w:val="19"/>
              </w:rPr>
              <w:t>Provider who has opted out of MSP — patients pay directly; no MSP billing</w:t>
            </w:r>
          </w:p>
        </w:tc>
      </w:tr>
      <w:tr>
        <w:tc>
          <w:tcPr>
            <w:tcW w:type="dxa" w:w="2448"/>
            <w:shd w:val="clear" w:color="auto" w:fill="F2F2F2"/>
          </w:tcPr>
          <w:p>
            <w:pPr>
              <w:spacing w:before="60" w:after="60"/>
            </w:pPr>
            <w:r>
              <w:rPr>
                <w:rFonts w:ascii="Arial" w:hAnsi="Arial"/>
                <w:color w:val="404040"/>
                <w:sz w:val="19"/>
              </w:rPr>
              <w:t>EFT</w:t>
            </w:r>
          </w:p>
        </w:tc>
        <w:tc>
          <w:tcPr>
            <w:tcW w:type="dxa" w:w="6912"/>
            <w:shd w:val="clear" w:color="auto" w:fill="F2F2F2"/>
          </w:tcPr>
          <w:p>
            <w:pPr>
              <w:spacing w:before="60" w:after="60"/>
            </w:pPr>
            <w:r>
              <w:rPr>
                <w:rFonts w:ascii="Arial" w:hAnsi="Arial"/>
                <w:color w:val="404040"/>
                <w:sz w:val="19"/>
              </w:rPr>
              <w:t>Electronic Funds Transfer — direct deposit of MSP payments to provider's bank account</w:t>
            </w:r>
          </w:p>
        </w:tc>
      </w:tr>
      <w:tr>
        <w:tc>
          <w:tcPr>
            <w:tcW w:type="dxa" w:w="2448"/>
            <w:shd w:val="clear" w:color="auto" w:fill="FFFFFF"/>
          </w:tcPr>
          <w:p>
            <w:pPr>
              <w:spacing w:before="60" w:after="60"/>
            </w:pPr>
            <w:r>
              <w:rPr>
                <w:rFonts w:ascii="Arial" w:hAnsi="Arial"/>
                <w:color w:val="404040"/>
                <w:sz w:val="19"/>
              </w:rPr>
              <w:t>Zapping</w:t>
            </w:r>
          </w:p>
        </w:tc>
        <w:tc>
          <w:tcPr>
            <w:tcW w:type="dxa" w:w="6912"/>
            <w:shd w:val="clear" w:color="auto" w:fill="FFFFFF"/>
          </w:tcPr>
          <w:p>
            <w:pPr>
              <w:spacing w:before="60" w:after="60"/>
            </w:pPr>
            <w:r>
              <w:rPr>
                <w:rFonts w:ascii="Arial" w:hAnsi="Arial"/>
                <w:color w:val="404040"/>
                <w:sz w:val="19"/>
              </w:rPr>
              <w:t>MSP term for cancelling a submitted claim before it is assessed</w:t>
            </w:r>
          </w:p>
        </w:tc>
      </w:tr>
      <w:tr>
        <w:tc>
          <w:tcPr>
            <w:tcW w:type="dxa" w:w="2448"/>
            <w:shd w:val="clear" w:color="auto" w:fill="F2F2F2"/>
          </w:tcPr>
          <w:p>
            <w:pPr>
              <w:spacing w:before="60" w:after="60"/>
            </w:pPr>
            <w:r>
              <w:rPr>
                <w:rFonts w:ascii="Arial" w:hAnsi="Arial"/>
                <w:color w:val="404040"/>
                <w:sz w:val="19"/>
              </w:rPr>
              <w:t>Sequence Number</w:t>
            </w:r>
          </w:p>
        </w:tc>
        <w:tc>
          <w:tcPr>
            <w:tcW w:type="dxa" w:w="6912"/>
            <w:shd w:val="clear" w:color="auto" w:fill="F2F2F2"/>
          </w:tcPr>
          <w:p>
            <w:pPr>
              <w:spacing w:before="60" w:after="60"/>
            </w:pPr>
            <w:r>
              <w:rPr>
                <w:rFonts w:ascii="Arial" w:hAnsi="Arial"/>
                <w:color w:val="404040"/>
                <w:sz w:val="19"/>
              </w:rPr>
              <w:t>A counter that must increase by 1 with each Teleplan transmission — gaps reject subsequent claims</w:t>
            </w:r>
          </w:p>
        </w:tc>
      </w:tr>
      <w:tr>
        <w:tc>
          <w:tcPr>
            <w:tcW w:type="dxa" w:w="2448"/>
            <w:shd w:val="clear" w:color="auto" w:fill="FFFFFF"/>
          </w:tcPr>
          <w:p>
            <w:pPr>
              <w:spacing w:before="60" w:after="60"/>
            </w:pPr>
            <w:r>
              <w:rPr>
                <w:rFonts w:ascii="Arial" w:hAnsi="Arial"/>
                <w:color w:val="404040"/>
                <w:sz w:val="19"/>
              </w:rPr>
              <w:t>Schedule of Benefits</w:t>
            </w:r>
          </w:p>
        </w:tc>
        <w:tc>
          <w:tcPr>
            <w:tcW w:type="dxa" w:w="6912"/>
            <w:shd w:val="clear" w:color="auto" w:fill="FFFFFF"/>
          </w:tcPr>
          <w:p>
            <w:pPr>
              <w:spacing w:before="60" w:after="60"/>
            </w:pPr>
            <w:r>
              <w:rPr>
                <w:rFonts w:ascii="Arial" w:hAnsi="Arial"/>
                <w:color w:val="404040"/>
                <w:sz w:val="19"/>
              </w:rPr>
              <w:t>MSP's published list of covered services, codes, and fee amounts</w:t>
            </w:r>
          </w:p>
        </w:tc>
      </w:tr>
      <w:tr>
        <w:tc>
          <w:tcPr>
            <w:tcW w:type="dxa" w:w="2448"/>
            <w:shd w:val="clear" w:color="auto" w:fill="F2F2F2"/>
          </w:tcPr>
          <w:p>
            <w:pPr>
              <w:spacing w:before="60" w:after="60"/>
            </w:pPr>
            <w:r>
              <w:rPr>
                <w:rFonts w:ascii="Arial" w:hAnsi="Arial"/>
                <w:color w:val="404040"/>
                <w:sz w:val="19"/>
              </w:rPr>
              <w:t>ICD-9</w:t>
            </w:r>
          </w:p>
        </w:tc>
        <w:tc>
          <w:tcPr>
            <w:tcW w:type="dxa" w:w="6912"/>
            <w:shd w:val="clear" w:color="auto" w:fill="F2F2F2"/>
          </w:tcPr>
          <w:p>
            <w:pPr>
              <w:spacing w:before="60" w:after="60"/>
            </w:pPr>
            <w:r>
              <w:rPr>
                <w:rFonts w:ascii="Arial" w:hAnsi="Arial"/>
                <w:color w:val="404040"/>
                <w:sz w:val="19"/>
              </w:rPr>
              <w:t>International Classification of Diseases 9th edition — the diagnosis code system used by MSP</w:t>
            </w:r>
          </w:p>
        </w:tc>
      </w:tr>
    </w:tbl>
    <w:p>
      <w:pPr>
        <w:spacing w:before="0" w:after="160"/>
      </w:pPr>
    </w:p>
    <w:p>
      <w:pPr>
        <w:spacing w:before="0" w:after="240"/>
      </w:pPr>
    </w:p>
    <w:p>
      <w:pPr>
        <w:jc w:val="center"/>
        <w:pBdr>
          <w:bottom w:val="single" w:sz="6" w:color="2E75B6"/>
        </w:pBdr>
      </w:pPr>
      <w:r>
        <w:rPr>
          <w:rFonts w:ascii="Arial" w:hAnsi="Arial"/>
          <w:i/>
          <w:color w:val="808080"/>
          <w:sz w:val="18"/>
        </w:rPr>
        <w:t>© Sky Claims — Internal Reference. Verify against current MSP/Teleplan specifications before 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